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081" w:rsidRPr="00A20F54" w:rsidRDefault="00320FC3" w:rsidP="00DB1081">
      <w:pPr>
        <w:tabs>
          <w:tab w:val="left" w:pos="2323"/>
        </w:tabs>
        <w:jc w:val="center"/>
        <w:outlineLvl w:val="0"/>
      </w:pPr>
      <w:r w:rsidRPr="00A20F54">
        <w:rPr>
          <w:noProof/>
        </w:rPr>
        <w:drawing>
          <wp:anchor distT="0" distB="0" distL="114300" distR="114300" simplePos="0" relativeHeight="251659264" behindDoc="0" locked="0" layoutInCell="1" allowOverlap="1" wp14:anchorId="64DCFBAA" wp14:editId="0CAF8F57">
            <wp:simplePos x="0" y="0"/>
            <wp:positionH relativeFrom="column">
              <wp:posOffset>2713990</wp:posOffset>
            </wp:positionH>
            <wp:positionV relativeFrom="paragraph">
              <wp:posOffset>15875</wp:posOffset>
            </wp:positionV>
            <wp:extent cx="723265" cy="885190"/>
            <wp:effectExtent l="0" t="0" r="635" b="0"/>
            <wp:wrapNone/>
            <wp:docPr id="17" name="Рисунок 17" descr="герб на документы отредактирова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ерб на документы отредактирован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885190"/>
                    </a:xfrm>
                    <a:prstGeom prst="rect">
                      <a:avLst/>
                    </a:prstGeom>
                    <a:noFill/>
                  </pic:spPr>
                </pic:pic>
              </a:graphicData>
            </a:graphic>
          </wp:anchor>
        </w:drawing>
      </w:r>
    </w:p>
    <w:p w:rsidR="00DB1081" w:rsidRPr="00A20F54" w:rsidRDefault="00DB1081" w:rsidP="00DB1081">
      <w:pPr>
        <w:tabs>
          <w:tab w:val="left" w:pos="2323"/>
        </w:tabs>
        <w:jc w:val="center"/>
        <w:outlineLvl w:val="0"/>
      </w:pPr>
    </w:p>
    <w:p w:rsidR="00DB1081" w:rsidRPr="00A20F54" w:rsidRDefault="00DB1081" w:rsidP="00DB1081">
      <w:pPr>
        <w:tabs>
          <w:tab w:val="left" w:pos="2323"/>
        </w:tabs>
        <w:jc w:val="center"/>
        <w:outlineLvl w:val="0"/>
        <w:rPr>
          <w:b/>
        </w:rPr>
      </w:pPr>
    </w:p>
    <w:p w:rsidR="00DB1081" w:rsidRPr="00A20F54" w:rsidRDefault="00DB1081" w:rsidP="00DB1081">
      <w:pPr>
        <w:tabs>
          <w:tab w:val="left" w:pos="2323"/>
        </w:tabs>
        <w:jc w:val="center"/>
        <w:outlineLvl w:val="0"/>
        <w:rPr>
          <w:b/>
        </w:rPr>
      </w:pPr>
    </w:p>
    <w:p w:rsidR="00DB1081" w:rsidRPr="00A20F54" w:rsidRDefault="00DB1081" w:rsidP="00DB1081">
      <w:pPr>
        <w:tabs>
          <w:tab w:val="left" w:pos="2323"/>
        </w:tabs>
        <w:jc w:val="center"/>
        <w:outlineLvl w:val="0"/>
        <w:rPr>
          <w:b/>
        </w:rPr>
      </w:pPr>
    </w:p>
    <w:p w:rsidR="00DB1081" w:rsidRDefault="00DB1081" w:rsidP="00DB1081">
      <w:pPr>
        <w:tabs>
          <w:tab w:val="left" w:pos="2323"/>
        </w:tabs>
        <w:jc w:val="center"/>
        <w:outlineLvl w:val="0"/>
        <w:rPr>
          <w:b/>
        </w:rPr>
      </w:pPr>
    </w:p>
    <w:p w:rsidR="00A20F54" w:rsidRPr="00A20F54" w:rsidRDefault="00A20F54" w:rsidP="00DB1081">
      <w:pPr>
        <w:tabs>
          <w:tab w:val="left" w:pos="2323"/>
        </w:tabs>
        <w:jc w:val="center"/>
        <w:outlineLvl w:val="0"/>
        <w:rPr>
          <w:b/>
        </w:rPr>
      </w:pPr>
    </w:p>
    <w:p w:rsidR="00DB1081" w:rsidRPr="00AF4DFB" w:rsidRDefault="00DB1081" w:rsidP="00DB1081">
      <w:pPr>
        <w:jc w:val="center"/>
        <w:rPr>
          <w:b/>
          <w:sz w:val="22"/>
          <w:szCs w:val="22"/>
        </w:rPr>
      </w:pPr>
      <w:r w:rsidRPr="00AF4DFB">
        <w:rPr>
          <w:b/>
          <w:sz w:val="22"/>
          <w:szCs w:val="22"/>
        </w:rPr>
        <w:t>РЕВИЗИОННАЯ КОМИССИЯ КАРГАТСКОГО РАЙОНА</w:t>
      </w:r>
    </w:p>
    <w:p w:rsidR="00DB1081" w:rsidRPr="00AF4DFB" w:rsidRDefault="00DB1081" w:rsidP="00DB1081">
      <w:pPr>
        <w:jc w:val="center"/>
        <w:rPr>
          <w:b/>
          <w:sz w:val="22"/>
          <w:szCs w:val="22"/>
        </w:rPr>
      </w:pPr>
      <w:r w:rsidRPr="00AF4DFB">
        <w:rPr>
          <w:b/>
          <w:sz w:val="22"/>
          <w:szCs w:val="22"/>
        </w:rPr>
        <w:t>НОВОСИБИРСКОЙ ОБЛАСТИ</w:t>
      </w:r>
    </w:p>
    <w:p w:rsidR="0017696E" w:rsidRPr="0029403D" w:rsidRDefault="0017696E" w:rsidP="00DB1081">
      <w:pPr>
        <w:jc w:val="center"/>
      </w:pPr>
    </w:p>
    <w:p w:rsidR="00DB1081" w:rsidRPr="0029403D" w:rsidRDefault="00DB1081" w:rsidP="00EC63AF">
      <w:pPr>
        <w:spacing w:before="120"/>
        <w:jc w:val="center"/>
        <w:rPr>
          <w:b/>
        </w:rPr>
      </w:pPr>
      <w:r w:rsidRPr="0029403D">
        <w:rPr>
          <w:b/>
        </w:rPr>
        <w:t xml:space="preserve">ЭКСПЕРТНОЕ ЗАКЛЮЧЕНИЕ </w:t>
      </w:r>
    </w:p>
    <w:p w:rsidR="00F76C5F" w:rsidRDefault="001E60F9" w:rsidP="001E60F9">
      <w:pPr>
        <w:pStyle w:val="ac"/>
        <w:ind w:firstLine="0"/>
        <w:rPr>
          <w:sz w:val="24"/>
          <w:szCs w:val="24"/>
        </w:rPr>
      </w:pPr>
      <w:r w:rsidRPr="0029403D">
        <w:rPr>
          <w:sz w:val="24"/>
          <w:szCs w:val="24"/>
        </w:rPr>
        <w:t xml:space="preserve">по </w:t>
      </w:r>
      <w:r w:rsidR="00E8794A" w:rsidRPr="0029403D">
        <w:rPr>
          <w:sz w:val="24"/>
          <w:szCs w:val="24"/>
        </w:rPr>
        <w:t xml:space="preserve">результатам внешней проверки годового </w:t>
      </w:r>
      <w:r w:rsidRPr="0029403D">
        <w:rPr>
          <w:sz w:val="24"/>
          <w:szCs w:val="24"/>
        </w:rPr>
        <w:t>отч</w:t>
      </w:r>
      <w:r w:rsidR="00A44A4C" w:rsidRPr="0029403D">
        <w:rPr>
          <w:sz w:val="24"/>
          <w:szCs w:val="24"/>
        </w:rPr>
        <w:t>ё</w:t>
      </w:r>
      <w:r w:rsidRPr="0029403D">
        <w:rPr>
          <w:sz w:val="24"/>
          <w:szCs w:val="24"/>
        </w:rPr>
        <w:t>т</w:t>
      </w:r>
      <w:r w:rsidR="00E8794A" w:rsidRPr="0029403D">
        <w:rPr>
          <w:sz w:val="24"/>
          <w:szCs w:val="24"/>
        </w:rPr>
        <w:t>а</w:t>
      </w:r>
      <w:r w:rsidR="001F1F69">
        <w:rPr>
          <w:sz w:val="24"/>
          <w:szCs w:val="24"/>
        </w:rPr>
        <w:t xml:space="preserve"> </w:t>
      </w:r>
      <w:r w:rsidRPr="0029403D">
        <w:rPr>
          <w:sz w:val="24"/>
          <w:szCs w:val="24"/>
        </w:rPr>
        <w:t>об исполнении</w:t>
      </w:r>
      <w:r w:rsidR="00A44A4C" w:rsidRPr="0029403D">
        <w:rPr>
          <w:sz w:val="24"/>
          <w:szCs w:val="24"/>
        </w:rPr>
        <w:t xml:space="preserve"> бюджета</w:t>
      </w:r>
      <w:r w:rsidR="001F1F69">
        <w:rPr>
          <w:sz w:val="24"/>
          <w:szCs w:val="24"/>
        </w:rPr>
        <w:t xml:space="preserve"> </w:t>
      </w:r>
    </w:p>
    <w:p w:rsidR="001E60F9" w:rsidRPr="0029403D" w:rsidRDefault="00E462E3" w:rsidP="001E60F9">
      <w:pPr>
        <w:pStyle w:val="ac"/>
        <w:ind w:firstLine="0"/>
        <w:rPr>
          <w:sz w:val="24"/>
          <w:szCs w:val="24"/>
        </w:rPr>
      </w:pPr>
      <w:r>
        <w:rPr>
          <w:sz w:val="24"/>
          <w:szCs w:val="24"/>
        </w:rPr>
        <w:t>Карган</w:t>
      </w:r>
      <w:r w:rsidR="00804797" w:rsidRPr="0029403D">
        <w:rPr>
          <w:sz w:val="24"/>
          <w:szCs w:val="24"/>
        </w:rPr>
        <w:t>ского сельсовета Каргатского района Новосибирской области</w:t>
      </w:r>
      <w:r w:rsidR="001E60F9" w:rsidRPr="0029403D">
        <w:rPr>
          <w:sz w:val="24"/>
          <w:szCs w:val="24"/>
        </w:rPr>
        <w:t xml:space="preserve"> за </w:t>
      </w:r>
      <w:r w:rsidR="00057FA2">
        <w:rPr>
          <w:sz w:val="24"/>
          <w:szCs w:val="24"/>
        </w:rPr>
        <w:t>2015</w:t>
      </w:r>
      <w:r w:rsidR="001E60F9" w:rsidRPr="0029403D">
        <w:rPr>
          <w:sz w:val="24"/>
          <w:szCs w:val="24"/>
        </w:rPr>
        <w:t xml:space="preserve"> год</w:t>
      </w:r>
    </w:p>
    <w:p w:rsidR="00A20F54" w:rsidRDefault="00235F1B" w:rsidP="0034168D">
      <w:pPr>
        <w:pStyle w:val="a4"/>
        <w:spacing w:before="360" w:after="180"/>
        <w:ind w:left="7938"/>
        <w:jc w:val="right"/>
      </w:pPr>
      <w:r>
        <w:t>29</w:t>
      </w:r>
      <w:r w:rsidR="00954939">
        <w:t>.</w:t>
      </w:r>
      <w:r w:rsidR="0034168D">
        <w:t>04</w:t>
      </w:r>
      <w:r w:rsidR="00A20F54">
        <w:t>.</w:t>
      </w:r>
      <w:r w:rsidR="00057FA2">
        <w:t>2016</w:t>
      </w:r>
    </w:p>
    <w:p w:rsidR="00080C19" w:rsidRPr="0066393F" w:rsidRDefault="00080C19" w:rsidP="00A20F54">
      <w:pPr>
        <w:pStyle w:val="a4"/>
        <w:spacing w:after="0"/>
        <w:ind w:firstLine="567"/>
        <w:jc w:val="both"/>
      </w:pPr>
      <w:proofErr w:type="gramStart"/>
      <w:r w:rsidRPr="0066393F">
        <w:t xml:space="preserve">Экспертное заключение </w:t>
      </w:r>
      <w:r w:rsidR="00506301" w:rsidRPr="0066393F">
        <w:t xml:space="preserve">Ревизионной </w:t>
      </w:r>
      <w:r w:rsidR="00A17EE6" w:rsidRPr="0066393F">
        <w:t>комиссии</w:t>
      </w:r>
      <w:r w:rsidR="00EF79F7" w:rsidRPr="0066393F">
        <w:t xml:space="preserve"> </w:t>
      </w:r>
      <w:r w:rsidR="00A17EE6" w:rsidRPr="0066393F">
        <w:t>Каргатского</w:t>
      </w:r>
      <w:r w:rsidR="00506301" w:rsidRPr="0066393F">
        <w:t xml:space="preserve"> района</w:t>
      </w:r>
      <w:r w:rsidR="00EF79F7" w:rsidRPr="0066393F">
        <w:t xml:space="preserve"> </w:t>
      </w:r>
      <w:r w:rsidR="001F1C1B" w:rsidRPr="0066393F">
        <w:t xml:space="preserve">по результатам внешней проверки годового отчёта об исполнении бюджета </w:t>
      </w:r>
      <w:r w:rsidR="00E462E3" w:rsidRPr="0066393F">
        <w:t>Карган</w:t>
      </w:r>
      <w:r w:rsidR="001F1C1B" w:rsidRPr="0066393F">
        <w:t>ского сельсовета Карга</w:t>
      </w:r>
      <w:r w:rsidR="001F1C1B" w:rsidRPr="0066393F">
        <w:t>т</w:t>
      </w:r>
      <w:r w:rsidR="001F1C1B" w:rsidRPr="0066393F">
        <w:t xml:space="preserve">ского района Новосибирской области за </w:t>
      </w:r>
      <w:r w:rsidR="00057FA2">
        <w:t>2015</w:t>
      </w:r>
      <w:r w:rsidR="001F1C1B" w:rsidRPr="0066393F">
        <w:t xml:space="preserve"> год</w:t>
      </w:r>
      <w:r w:rsidR="00E2681F" w:rsidRPr="0066393F">
        <w:t xml:space="preserve"> (далее </w:t>
      </w:r>
      <w:r w:rsidR="00EF79F7" w:rsidRPr="0066393F">
        <w:t>–</w:t>
      </w:r>
      <w:r w:rsidR="00E2681F" w:rsidRPr="0066393F">
        <w:t xml:space="preserve"> </w:t>
      </w:r>
      <w:r w:rsidR="00135AAE" w:rsidRPr="0066393F">
        <w:t>о</w:t>
      </w:r>
      <w:r w:rsidR="00E2681F" w:rsidRPr="0066393F">
        <w:t>тчёт</w:t>
      </w:r>
      <w:r w:rsidR="00EF79F7" w:rsidRPr="0066393F">
        <w:t xml:space="preserve"> </w:t>
      </w:r>
      <w:r w:rsidR="00E2681F" w:rsidRPr="0066393F">
        <w:t>об исполнении</w:t>
      </w:r>
      <w:r w:rsidR="004812A7" w:rsidRPr="0066393F">
        <w:t xml:space="preserve"> местного</w:t>
      </w:r>
      <w:r w:rsidR="00E2681F" w:rsidRPr="0066393F">
        <w:t xml:space="preserve"> бюджета за </w:t>
      </w:r>
      <w:r w:rsidR="00057FA2">
        <w:t>2015</w:t>
      </w:r>
      <w:r w:rsidR="00E2681F" w:rsidRPr="0066393F">
        <w:t xml:space="preserve"> год) </w:t>
      </w:r>
      <w:r w:rsidRPr="0066393F">
        <w:t>подготовлено в соответстви</w:t>
      </w:r>
      <w:r w:rsidR="0066393F" w:rsidRPr="0066393F">
        <w:t>е</w:t>
      </w:r>
      <w:r w:rsidR="009603FB" w:rsidRPr="0066393F">
        <w:t xml:space="preserve"> стать</w:t>
      </w:r>
      <w:r w:rsidR="0066393F" w:rsidRPr="0066393F">
        <w:t>е</w:t>
      </w:r>
      <w:r w:rsidR="009603FB" w:rsidRPr="0066393F">
        <w:t xml:space="preserve"> 264.4 Бюджетного кодекса</w:t>
      </w:r>
      <w:r w:rsidR="00EF79F7" w:rsidRPr="0066393F">
        <w:t xml:space="preserve"> </w:t>
      </w:r>
      <w:r w:rsidRPr="0066393F">
        <w:t>Р</w:t>
      </w:r>
      <w:r w:rsidR="00A17EE6" w:rsidRPr="0066393F">
        <w:t>осси</w:t>
      </w:r>
      <w:r w:rsidR="00A17EE6" w:rsidRPr="0066393F">
        <w:t>й</w:t>
      </w:r>
      <w:r w:rsidR="00A17EE6" w:rsidRPr="0066393F">
        <w:t xml:space="preserve">ской </w:t>
      </w:r>
      <w:r w:rsidRPr="0066393F">
        <w:t>Ф</w:t>
      </w:r>
      <w:r w:rsidR="00A17EE6" w:rsidRPr="0066393F">
        <w:t>едерации</w:t>
      </w:r>
      <w:r w:rsidRPr="0066393F">
        <w:t xml:space="preserve"> (</w:t>
      </w:r>
      <w:r w:rsidR="00A17EE6" w:rsidRPr="0066393F">
        <w:t xml:space="preserve">далее – </w:t>
      </w:r>
      <w:r w:rsidRPr="0066393F">
        <w:t xml:space="preserve">БК РФ), </w:t>
      </w:r>
      <w:r w:rsidR="00950EE2" w:rsidRPr="0066393F">
        <w:t>стать</w:t>
      </w:r>
      <w:r w:rsidR="0066393F" w:rsidRPr="0066393F">
        <w:t>е</w:t>
      </w:r>
      <w:r w:rsidR="00950EE2" w:rsidRPr="0066393F">
        <w:t xml:space="preserve"> </w:t>
      </w:r>
      <w:r w:rsidR="009912AC" w:rsidRPr="0066393F">
        <w:t>88</w:t>
      </w:r>
      <w:r w:rsidR="00EF79F7" w:rsidRPr="0066393F">
        <w:t xml:space="preserve"> </w:t>
      </w:r>
      <w:r w:rsidR="0017696E" w:rsidRPr="0066393F">
        <w:t>Положения</w:t>
      </w:r>
      <w:r w:rsidR="005A1015" w:rsidRPr="0066393F">
        <w:t xml:space="preserve"> о</w:t>
      </w:r>
      <w:r w:rsidRPr="0066393F">
        <w:t xml:space="preserve"> бюджетном</w:t>
      </w:r>
      <w:r w:rsidR="00422724" w:rsidRPr="0066393F">
        <w:t xml:space="preserve"> устройстве и бюдже</w:t>
      </w:r>
      <w:r w:rsidR="00422724" w:rsidRPr="0066393F">
        <w:t>т</w:t>
      </w:r>
      <w:r w:rsidR="00422724" w:rsidRPr="0066393F">
        <w:t>ном</w:t>
      </w:r>
      <w:r w:rsidRPr="0066393F">
        <w:t xml:space="preserve"> процессе в </w:t>
      </w:r>
      <w:r w:rsidR="00E462E3" w:rsidRPr="0066393F">
        <w:t>Карган</w:t>
      </w:r>
      <w:r w:rsidR="005A1015" w:rsidRPr="0066393F">
        <w:t>ск</w:t>
      </w:r>
      <w:r w:rsidR="00422724" w:rsidRPr="0066393F">
        <w:t>ом</w:t>
      </w:r>
      <w:r w:rsidR="005A1015" w:rsidRPr="0066393F">
        <w:t xml:space="preserve"> сельсовет</w:t>
      </w:r>
      <w:r w:rsidR="00422724" w:rsidRPr="0066393F">
        <w:t>е</w:t>
      </w:r>
      <w:r w:rsidR="005A1015" w:rsidRPr="0066393F">
        <w:t xml:space="preserve"> Каргатского района</w:t>
      </w:r>
      <w:r w:rsidR="00EF79F7" w:rsidRPr="0066393F">
        <w:t xml:space="preserve"> </w:t>
      </w:r>
      <w:r w:rsidRPr="0066393F">
        <w:t>Новосибирской</w:t>
      </w:r>
      <w:proofErr w:type="gramEnd"/>
      <w:r w:rsidRPr="0066393F">
        <w:t xml:space="preserve"> </w:t>
      </w:r>
      <w:proofErr w:type="gramStart"/>
      <w:r w:rsidRPr="0066393F">
        <w:t>области</w:t>
      </w:r>
      <w:r w:rsidR="00F37687" w:rsidRPr="0066393F">
        <w:t>, утве</w:t>
      </w:r>
      <w:r w:rsidR="00F37687" w:rsidRPr="0066393F">
        <w:t>р</w:t>
      </w:r>
      <w:r w:rsidR="00F37687" w:rsidRPr="0066393F">
        <w:t>ждённ</w:t>
      </w:r>
      <w:r w:rsidR="0066393F" w:rsidRPr="0066393F">
        <w:t>ого</w:t>
      </w:r>
      <w:r w:rsidR="00F37687" w:rsidRPr="0066393F">
        <w:t xml:space="preserve"> решением </w:t>
      </w:r>
      <w:r w:rsidR="009912AC" w:rsidRPr="0066393F">
        <w:t>3</w:t>
      </w:r>
      <w:r w:rsidR="00F37687" w:rsidRPr="0066393F">
        <w:t>-й сессии 4</w:t>
      </w:r>
      <w:bookmarkStart w:id="0" w:name="_GoBack"/>
      <w:bookmarkEnd w:id="0"/>
      <w:r w:rsidR="00F37687" w:rsidRPr="0066393F">
        <w:t xml:space="preserve"> созыва Совета депутатов </w:t>
      </w:r>
      <w:r w:rsidR="00E462E3" w:rsidRPr="0066393F">
        <w:t>Карган</w:t>
      </w:r>
      <w:r w:rsidR="00F37687" w:rsidRPr="0066393F">
        <w:t>ского сельсовета Карга</w:t>
      </w:r>
      <w:r w:rsidR="00F37687" w:rsidRPr="0066393F">
        <w:t>т</w:t>
      </w:r>
      <w:r w:rsidR="00F37687" w:rsidRPr="0066393F">
        <w:t xml:space="preserve">ского района Новосибирской области от </w:t>
      </w:r>
      <w:r w:rsidR="009912AC" w:rsidRPr="0066393F">
        <w:t>18</w:t>
      </w:r>
      <w:r w:rsidR="00F46D1E" w:rsidRPr="0066393F">
        <w:t>.1</w:t>
      </w:r>
      <w:r w:rsidR="009912AC" w:rsidRPr="0066393F">
        <w:t>1</w:t>
      </w:r>
      <w:r w:rsidR="00F37687" w:rsidRPr="0066393F">
        <w:t>.</w:t>
      </w:r>
      <w:r w:rsidR="00A20F54" w:rsidRPr="0066393F">
        <w:t>201</w:t>
      </w:r>
      <w:r w:rsidR="00A73F55" w:rsidRPr="0066393F">
        <w:t>0</w:t>
      </w:r>
      <w:r w:rsidR="00F37687" w:rsidRPr="0066393F">
        <w:t xml:space="preserve"> № </w:t>
      </w:r>
      <w:r w:rsidR="009912AC" w:rsidRPr="0066393F">
        <w:t>1</w:t>
      </w:r>
      <w:r w:rsidR="00950EE2" w:rsidRPr="0066393F">
        <w:t>2</w:t>
      </w:r>
      <w:r w:rsidRPr="0066393F">
        <w:t xml:space="preserve"> (</w:t>
      </w:r>
      <w:r w:rsidR="005A1015" w:rsidRPr="0066393F">
        <w:t>далее – Положение о бюджетном процессе</w:t>
      </w:r>
      <w:r w:rsidR="00F46D1E" w:rsidRPr="0066393F">
        <w:t>),</w:t>
      </w:r>
      <w:r w:rsidR="0099743D" w:rsidRPr="0066393F">
        <w:t xml:space="preserve"> </w:t>
      </w:r>
      <w:r w:rsidR="00A20F54" w:rsidRPr="0066393F">
        <w:t>пункт</w:t>
      </w:r>
      <w:r w:rsidR="0066393F" w:rsidRPr="0066393F">
        <w:t>у</w:t>
      </w:r>
      <w:r w:rsidR="00A20F54" w:rsidRPr="0066393F">
        <w:t xml:space="preserve"> 3 статьи 4 Положения о Ревизионной комиссии Каргатского района Нов</w:t>
      </w:r>
      <w:r w:rsidR="00A20F54" w:rsidRPr="0066393F">
        <w:t>о</w:t>
      </w:r>
      <w:r w:rsidR="00A20F54" w:rsidRPr="0066393F">
        <w:t xml:space="preserve">сибирской области, </w:t>
      </w:r>
      <w:r w:rsidR="0066393F" w:rsidRPr="0066393F">
        <w:t xml:space="preserve">утверждённого </w:t>
      </w:r>
      <w:r w:rsidR="00E34912" w:rsidRPr="0066393F">
        <w:t>решением 14 сессии 2 созыва Совета депутатов Карга</w:t>
      </w:r>
      <w:r w:rsidR="00E34912" w:rsidRPr="0066393F">
        <w:t>т</w:t>
      </w:r>
      <w:r w:rsidR="00E34912" w:rsidRPr="0066393F">
        <w:t>ского района Новосибирской области от 23.11.2011 № 157, пункт</w:t>
      </w:r>
      <w:r w:rsidR="0066393F" w:rsidRPr="0066393F">
        <w:t>у</w:t>
      </w:r>
      <w:r w:rsidR="00E34912" w:rsidRPr="0066393F">
        <w:t xml:space="preserve"> 1 Соглашения о передаче полномочий ревизионной комиссии Каргатского района</w:t>
      </w:r>
      <w:proofErr w:type="gramEnd"/>
      <w:r w:rsidR="00E34912" w:rsidRPr="0066393F">
        <w:t xml:space="preserve"> от 14.03.</w:t>
      </w:r>
      <w:r w:rsidR="00057FA2">
        <w:t>2014</w:t>
      </w:r>
      <w:r w:rsidR="00E34912" w:rsidRPr="0066393F">
        <w:t>, пункт</w:t>
      </w:r>
      <w:r w:rsidR="0066393F" w:rsidRPr="0066393F">
        <w:t>у</w:t>
      </w:r>
      <w:r w:rsidR="00E34912" w:rsidRPr="0066393F">
        <w:t xml:space="preserve"> 12 Плана р</w:t>
      </w:r>
      <w:r w:rsidR="00E34912" w:rsidRPr="0066393F">
        <w:t>а</w:t>
      </w:r>
      <w:r w:rsidR="00E34912" w:rsidRPr="0066393F">
        <w:t xml:space="preserve">боты Ревизионной комиссии Каргатского района на </w:t>
      </w:r>
      <w:r w:rsidR="00057FA2">
        <w:t>2016</w:t>
      </w:r>
      <w:r w:rsidR="00E34912" w:rsidRPr="0066393F">
        <w:t xml:space="preserve"> год</w:t>
      </w:r>
      <w:r w:rsidR="00A20F54" w:rsidRPr="0066393F">
        <w:t>.</w:t>
      </w:r>
    </w:p>
    <w:p w:rsidR="00057FA2" w:rsidRPr="0029403D" w:rsidRDefault="00057FA2" w:rsidP="00057FA2">
      <w:pPr>
        <w:spacing w:before="60"/>
        <w:ind w:firstLine="567"/>
        <w:jc w:val="both"/>
      </w:pPr>
      <w:r w:rsidRPr="0029403D">
        <w:t xml:space="preserve">Отчёт об исполнении местного бюджета за </w:t>
      </w:r>
      <w:r>
        <w:t>2015</w:t>
      </w:r>
      <w:r w:rsidRPr="0029403D">
        <w:t xml:space="preserve"> год с пояснительной запиской и д</w:t>
      </w:r>
      <w:r w:rsidRPr="0029403D">
        <w:t>о</w:t>
      </w:r>
      <w:r w:rsidRPr="0029403D">
        <w:t xml:space="preserve">полнительными материалами поступил в Ревизионную комиссию в срок, установленный </w:t>
      </w:r>
      <w:r>
        <w:t xml:space="preserve">пунктом 3 </w:t>
      </w:r>
      <w:r w:rsidRPr="0029403D">
        <w:t>стать</w:t>
      </w:r>
      <w:r>
        <w:t>и 264.4 БК РФ</w:t>
      </w:r>
      <w:r w:rsidRPr="0029403D">
        <w:t>.</w:t>
      </w:r>
    </w:p>
    <w:p w:rsidR="00057FA2" w:rsidRPr="0029403D" w:rsidRDefault="00057FA2" w:rsidP="00057FA2">
      <w:pPr>
        <w:spacing w:before="60"/>
        <w:ind w:firstLine="567"/>
        <w:jc w:val="both"/>
      </w:pPr>
      <w:r w:rsidRPr="0029403D">
        <w:t>В соответствие пункту 1 статьи 264.4 БК РФ:</w:t>
      </w:r>
    </w:p>
    <w:p w:rsidR="00057FA2" w:rsidRDefault="00057FA2" w:rsidP="00057FA2">
      <w:pPr>
        <w:autoSpaceDE w:val="0"/>
        <w:autoSpaceDN w:val="0"/>
        <w:adjustRightInd w:val="0"/>
        <w:spacing w:before="40"/>
        <w:ind w:firstLine="567"/>
        <w:jc w:val="both"/>
        <w:rPr>
          <w:i/>
          <w:sz w:val="20"/>
          <w:szCs w:val="20"/>
        </w:rPr>
      </w:pPr>
      <w:r w:rsidRPr="00B95059">
        <w:rPr>
          <w:i/>
          <w:sz w:val="20"/>
          <w:szCs w:val="20"/>
        </w:rPr>
        <w:t>«Годовой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057FA2" w:rsidRDefault="00057FA2" w:rsidP="00057FA2">
      <w:pPr>
        <w:autoSpaceDE w:val="0"/>
        <w:autoSpaceDN w:val="0"/>
        <w:adjustRightInd w:val="0"/>
        <w:spacing w:before="60"/>
        <w:ind w:firstLine="567"/>
        <w:jc w:val="both"/>
      </w:pPr>
      <w:r w:rsidRPr="0029403D">
        <w:t xml:space="preserve">В </w:t>
      </w:r>
      <w:r>
        <w:t>соответствии</w:t>
      </w:r>
      <w:r w:rsidRPr="0029403D">
        <w:t xml:space="preserve"> пункт</w:t>
      </w:r>
      <w:r>
        <w:t>у</w:t>
      </w:r>
      <w:r w:rsidRPr="0029403D">
        <w:t xml:space="preserve"> 3 статьи 264.1 БК РФ предоставлена </w:t>
      </w:r>
      <w:r>
        <w:t xml:space="preserve">вся указанная </w:t>
      </w:r>
      <w:r w:rsidRPr="0029403D">
        <w:t>бюджетная отчётность</w:t>
      </w:r>
      <w:r>
        <w:t>.</w:t>
      </w:r>
    </w:p>
    <w:p w:rsidR="00DC1ABD" w:rsidRPr="0029403D" w:rsidRDefault="00AD4941" w:rsidP="00EA4F3B">
      <w:pPr>
        <w:pStyle w:val="1"/>
      </w:pPr>
      <w:r w:rsidRPr="0029403D">
        <w:t>1. </w:t>
      </w:r>
      <w:r w:rsidR="00607E5A" w:rsidRPr="0029403D">
        <w:t xml:space="preserve">Макроэкономические условия исполнения </w:t>
      </w:r>
      <w:r w:rsidR="00276E2C" w:rsidRPr="0029403D">
        <w:t xml:space="preserve">местного </w:t>
      </w:r>
      <w:r w:rsidR="00607E5A" w:rsidRPr="0029403D">
        <w:t xml:space="preserve">бюджета в </w:t>
      </w:r>
      <w:r w:rsidR="00057FA2">
        <w:t>2015</w:t>
      </w:r>
      <w:r w:rsidR="00607E5A" w:rsidRPr="0029403D">
        <w:t xml:space="preserve"> году</w:t>
      </w:r>
    </w:p>
    <w:p w:rsidR="00F66D86" w:rsidRPr="0029403D" w:rsidRDefault="00F66D86" w:rsidP="000629CA">
      <w:pPr>
        <w:spacing w:before="60"/>
        <w:ind w:firstLine="567"/>
        <w:jc w:val="both"/>
      </w:pPr>
      <w:r w:rsidRPr="0029403D">
        <w:t>Площадь территории муниципального образования</w:t>
      </w:r>
      <w:r w:rsidR="002E13A6" w:rsidRPr="0029403D">
        <w:t xml:space="preserve"> составляет </w:t>
      </w:r>
      <w:r w:rsidR="003423D1">
        <w:t>65601</w:t>
      </w:r>
      <w:r w:rsidR="00EF79F7">
        <w:t xml:space="preserve"> </w:t>
      </w:r>
      <w:r w:rsidR="00536FE3" w:rsidRPr="0029403D">
        <w:t>га, из них сельх</w:t>
      </w:r>
      <w:r w:rsidR="00536FE3" w:rsidRPr="0029403D">
        <w:t>о</w:t>
      </w:r>
      <w:r w:rsidR="00536FE3" w:rsidRPr="0029403D">
        <w:t xml:space="preserve">зугодия – </w:t>
      </w:r>
      <w:r w:rsidR="003423D1">
        <w:t>42826</w:t>
      </w:r>
      <w:r w:rsidR="00536FE3" w:rsidRPr="0029403D">
        <w:t xml:space="preserve"> га или </w:t>
      </w:r>
      <w:r w:rsidR="003423D1">
        <w:t>65,3</w:t>
      </w:r>
      <w:r w:rsidR="00536FE3" w:rsidRPr="0029403D">
        <w:t>%.</w:t>
      </w:r>
    </w:p>
    <w:p w:rsidR="00057FA2" w:rsidRPr="0029403D" w:rsidRDefault="00057FA2" w:rsidP="000629CA">
      <w:pPr>
        <w:spacing w:before="60"/>
        <w:ind w:firstLine="567"/>
        <w:jc w:val="both"/>
      </w:pPr>
      <w:r w:rsidRPr="0029403D">
        <w:t xml:space="preserve">Площадь жилищного фонда – </w:t>
      </w:r>
      <w:r>
        <w:t>17,5</w:t>
      </w:r>
      <w:r w:rsidRPr="0029403D">
        <w:t xml:space="preserve"> тыс. м</w:t>
      </w:r>
      <w:proofErr w:type="gramStart"/>
      <w:r w:rsidRPr="0029403D">
        <w:rPr>
          <w:vertAlign w:val="superscript"/>
        </w:rPr>
        <w:t>2</w:t>
      </w:r>
      <w:proofErr w:type="gramEnd"/>
      <w:r w:rsidRPr="0029403D">
        <w:t>, в том числе площадь муниципального ж</w:t>
      </w:r>
      <w:r w:rsidRPr="0029403D">
        <w:t>и</w:t>
      </w:r>
      <w:r w:rsidRPr="0029403D">
        <w:t xml:space="preserve">лищного фонда – </w:t>
      </w:r>
      <w:r>
        <w:t>10,5</w:t>
      </w:r>
      <w:r w:rsidRPr="0029403D">
        <w:t xml:space="preserve"> тыс. м</w:t>
      </w:r>
      <w:r w:rsidRPr="0029403D">
        <w:rPr>
          <w:vertAlign w:val="superscript"/>
        </w:rPr>
        <w:t>2</w:t>
      </w:r>
      <w:r w:rsidRPr="0029403D">
        <w:t>.</w:t>
      </w:r>
    </w:p>
    <w:p w:rsidR="005F2C83" w:rsidRPr="00317803" w:rsidRDefault="005F2C83" w:rsidP="000629CA">
      <w:pPr>
        <w:spacing w:before="60"/>
        <w:ind w:firstLine="567"/>
        <w:jc w:val="both"/>
        <w:rPr>
          <w:spacing w:val="-4"/>
        </w:rPr>
      </w:pPr>
      <w:r w:rsidRPr="00317803">
        <w:rPr>
          <w:spacing w:val="-4"/>
        </w:rPr>
        <w:t xml:space="preserve">На территории муниципального образования одно сельскохозяйственное предприятие ЗАО «Московское», промышленных предприятий нет, одно крестьянско-фермерское хозяйство. </w:t>
      </w:r>
    </w:p>
    <w:p w:rsidR="008D09B0" w:rsidRPr="0029403D" w:rsidRDefault="00034F90" w:rsidP="000629CA">
      <w:pPr>
        <w:spacing w:before="60"/>
        <w:ind w:firstLine="567"/>
        <w:jc w:val="both"/>
      </w:pPr>
      <w:r w:rsidRPr="0029403D">
        <w:t xml:space="preserve">В течение </w:t>
      </w:r>
      <w:r w:rsidR="00057FA2">
        <w:t>2013</w:t>
      </w:r>
      <w:r w:rsidRPr="0029403D">
        <w:t>-</w:t>
      </w:r>
      <w:r w:rsidR="00057FA2">
        <w:t>2015</w:t>
      </w:r>
      <w:r w:rsidRPr="0029403D">
        <w:t xml:space="preserve"> годов продолжает уменьшаться численность населения, с </w:t>
      </w:r>
      <w:r w:rsidR="000629CA">
        <w:t>622</w:t>
      </w:r>
      <w:r w:rsidRPr="0029403D">
        <w:t xml:space="preserve"> до </w:t>
      </w:r>
      <w:r w:rsidR="000629CA">
        <w:t>593</w:t>
      </w:r>
      <w:r w:rsidRPr="0029403D">
        <w:t xml:space="preserve"> человек. </w:t>
      </w:r>
      <w:r w:rsidR="000629CA">
        <w:t>Обратная</w:t>
      </w:r>
      <w:r w:rsidR="00202E4A">
        <w:t xml:space="preserve"> с</w:t>
      </w:r>
      <w:r w:rsidR="00524698">
        <w:t xml:space="preserve">итуация </w:t>
      </w:r>
      <w:r w:rsidR="008D09B0" w:rsidRPr="0029403D">
        <w:t>с трудовыми ресурсами</w:t>
      </w:r>
      <w:r w:rsidR="00524698">
        <w:t xml:space="preserve">: </w:t>
      </w:r>
      <w:r w:rsidR="00057FA2">
        <w:t>2013</w:t>
      </w:r>
      <w:r w:rsidR="00524698">
        <w:t xml:space="preserve"> год – </w:t>
      </w:r>
      <w:r w:rsidR="000629CA">
        <w:t>348</w:t>
      </w:r>
      <w:r w:rsidR="00524698">
        <w:t xml:space="preserve"> человек, </w:t>
      </w:r>
      <w:r w:rsidR="00057FA2">
        <w:t>2015</w:t>
      </w:r>
      <w:r w:rsidR="00524698">
        <w:t xml:space="preserve"> год – </w:t>
      </w:r>
      <w:r w:rsidR="000629CA">
        <w:t>351</w:t>
      </w:r>
      <w:r w:rsidR="00524698">
        <w:t xml:space="preserve"> </w:t>
      </w:r>
      <w:r w:rsidR="008D09B0" w:rsidRPr="0029403D">
        <w:t>человек.</w:t>
      </w:r>
    </w:p>
    <w:p w:rsidR="00524698" w:rsidRPr="00524698" w:rsidRDefault="00E96C9A" w:rsidP="000629CA">
      <w:pPr>
        <w:spacing w:before="60"/>
        <w:ind w:firstLine="567"/>
        <w:jc w:val="both"/>
        <w:rPr>
          <w:i/>
          <w:u w:val="single"/>
        </w:rPr>
      </w:pPr>
      <w:r w:rsidRPr="0029403D">
        <w:t xml:space="preserve">С другой стороны, средняя заработная плата увеличивается: с </w:t>
      </w:r>
      <w:r w:rsidR="00202E4A">
        <w:t>9300</w:t>
      </w:r>
      <w:r w:rsidR="00EF79F7">
        <w:t xml:space="preserve"> </w:t>
      </w:r>
      <w:r w:rsidR="00CA485C" w:rsidRPr="0029403D">
        <w:t>руб.</w:t>
      </w:r>
      <w:r w:rsidRPr="0029403D">
        <w:t xml:space="preserve"> в </w:t>
      </w:r>
      <w:r w:rsidR="00057FA2">
        <w:t>2013</w:t>
      </w:r>
      <w:r w:rsidRPr="0029403D">
        <w:t xml:space="preserve"> году д</w:t>
      </w:r>
      <w:r w:rsidR="004E4E7D">
        <w:t>о</w:t>
      </w:r>
      <w:r w:rsidR="00EF79F7">
        <w:t xml:space="preserve"> </w:t>
      </w:r>
      <w:r w:rsidR="0097669F">
        <w:t>9</w:t>
      </w:r>
      <w:r w:rsidR="00202E4A">
        <w:t>5</w:t>
      </w:r>
      <w:r w:rsidR="0097669F">
        <w:t>00</w:t>
      </w:r>
      <w:r w:rsidR="0099743D">
        <w:t xml:space="preserve"> </w:t>
      </w:r>
      <w:r w:rsidR="00CA485C" w:rsidRPr="0029403D">
        <w:t>руб.</w:t>
      </w:r>
      <w:r w:rsidRPr="0029403D">
        <w:t xml:space="preserve"> в </w:t>
      </w:r>
      <w:r w:rsidR="00057FA2">
        <w:t>2015</w:t>
      </w:r>
      <w:r w:rsidRPr="0029403D">
        <w:t xml:space="preserve"> году</w:t>
      </w:r>
      <w:r w:rsidR="00202E4A">
        <w:t>.</w:t>
      </w:r>
    </w:p>
    <w:p w:rsidR="006628FF" w:rsidRPr="0029403D" w:rsidRDefault="0002517C" w:rsidP="00EA4F3B">
      <w:pPr>
        <w:pStyle w:val="1"/>
      </w:pPr>
      <w:r w:rsidRPr="0029403D">
        <w:lastRenderedPageBreak/>
        <w:t xml:space="preserve">2. Соблюдение бюджетного законодательства при организации исполнения </w:t>
      </w:r>
      <w:r w:rsidR="00264072" w:rsidRPr="0029403D">
        <w:t>мес</w:t>
      </w:r>
      <w:r w:rsidR="00264072" w:rsidRPr="0029403D">
        <w:t>т</w:t>
      </w:r>
      <w:r w:rsidR="00264072" w:rsidRPr="0029403D">
        <w:t xml:space="preserve">ного бюджета </w:t>
      </w:r>
      <w:r w:rsidRPr="0029403D">
        <w:t xml:space="preserve">в </w:t>
      </w:r>
      <w:r w:rsidR="00057FA2">
        <w:t>2015</w:t>
      </w:r>
      <w:r w:rsidRPr="0029403D">
        <w:t xml:space="preserve"> году</w:t>
      </w:r>
    </w:p>
    <w:p w:rsidR="0002517C" w:rsidRPr="0029403D" w:rsidRDefault="00596CD7" w:rsidP="000629CA">
      <w:pPr>
        <w:spacing w:before="60"/>
        <w:ind w:firstLine="567"/>
        <w:jc w:val="both"/>
      </w:pPr>
      <w:r w:rsidRPr="0029403D">
        <w:t>2.</w:t>
      </w:r>
      <w:r w:rsidR="004E3D6E" w:rsidRPr="0029403D">
        <w:t xml:space="preserve">1. </w:t>
      </w:r>
      <w:proofErr w:type="gramStart"/>
      <w:r w:rsidR="00E04607" w:rsidRPr="0029403D">
        <w:t>Система</w:t>
      </w:r>
      <w:r w:rsidR="0002517C" w:rsidRPr="0029403D">
        <w:t xml:space="preserve"> исполнения </w:t>
      </w:r>
      <w:r w:rsidR="004812A7" w:rsidRPr="0029403D">
        <w:t xml:space="preserve">местного </w:t>
      </w:r>
      <w:r w:rsidR="0002517C" w:rsidRPr="0029403D">
        <w:t>бюджета соответств</w:t>
      </w:r>
      <w:r w:rsidR="00E04607" w:rsidRPr="0029403D">
        <w:t xml:space="preserve">ует </w:t>
      </w:r>
      <w:r w:rsidR="004C38CC" w:rsidRPr="0029403D">
        <w:t>БК РФ, Положению о бю</w:t>
      </w:r>
      <w:r w:rsidR="004C38CC" w:rsidRPr="0029403D">
        <w:t>д</w:t>
      </w:r>
      <w:r w:rsidR="004C38CC" w:rsidRPr="0029403D">
        <w:t>жетном процессе</w:t>
      </w:r>
      <w:r w:rsidR="0002517C" w:rsidRPr="0029403D">
        <w:t xml:space="preserve">: </w:t>
      </w:r>
      <w:r w:rsidR="007D026A">
        <w:t>бюджетные полномочия</w:t>
      </w:r>
      <w:r w:rsidR="007D026A" w:rsidRPr="0029403D">
        <w:t xml:space="preserve"> администрация </w:t>
      </w:r>
      <w:r w:rsidR="007D026A">
        <w:t>Карган</w:t>
      </w:r>
      <w:r w:rsidR="007D026A" w:rsidRPr="0029403D">
        <w:t>ского сельсовета</w:t>
      </w:r>
      <w:r w:rsidR="007D026A">
        <w:t xml:space="preserve"> исполн</w:t>
      </w:r>
      <w:r w:rsidR="007D026A">
        <w:t>я</w:t>
      </w:r>
      <w:r w:rsidR="007D026A">
        <w:t>ет</w:t>
      </w:r>
      <w:r w:rsidR="007D026A" w:rsidRPr="0029403D">
        <w:t xml:space="preserve"> в соответствии со </w:t>
      </w:r>
      <w:r w:rsidR="007D026A" w:rsidRPr="00704C9D">
        <w:t xml:space="preserve">статьёй </w:t>
      </w:r>
      <w:r w:rsidR="00E11CBD">
        <w:t>4</w:t>
      </w:r>
      <w:r w:rsidR="00C473F5" w:rsidRPr="0029403D">
        <w:t>2 Положения о бюджетном процессе</w:t>
      </w:r>
      <w:r w:rsidR="00C647CB" w:rsidRPr="0029403D">
        <w:t xml:space="preserve">; </w:t>
      </w:r>
      <w:r w:rsidR="007026D6" w:rsidRPr="0029403D">
        <w:t>утверждён перечень</w:t>
      </w:r>
      <w:r w:rsidR="0002517C" w:rsidRPr="0029403D">
        <w:t xml:space="preserve"> п</w:t>
      </w:r>
      <w:r w:rsidR="0002517C" w:rsidRPr="0029403D">
        <w:t>о</w:t>
      </w:r>
      <w:r w:rsidR="0002517C" w:rsidRPr="0029403D">
        <w:t>лучателей</w:t>
      </w:r>
      <w:r w:rsidR="007026D6" w:rsidRPr="0029403D">
        <w:t xml:space="preserve"> средств местного бюджета (администрация </w:t>
      </w:r>
      <w:r w:rsidR="00E462E3">
        <w:t>Карган</w:t>
      </w:r>
      <w:r w:rsidR="007026D6" w:rsidRPr="0029403D">
        <w:t>ского сельсовета</w:t>
      </w:r>
      <w:r w:rsidR="0002517C" w:rsidRPr="0029403D">
        <w:t>,</w:t>
      </w:r>
      <w:r w:rsidR="009528C3">
        <w:t xml:space="preserve"> </w:t>
      </w:r>
      <w:r w:rsidR="00057FA2">
        <w:t>МКУК</w:t>
      </w:r>
      <w:r w:rsidR="003544B4" w:rsidRPr="0029403D">
        <w:t xml:space="preserve"> «</w:t>
      </w:r>
      <w:r w:rsidR="00E462E3">
        <w:t>Ка</w:t>
      </w:r>
      <w:r w:rsidR="00E462E3">
        <w:t>р</w:t>
      </w:r>
      <w:r w:rsidR="00E462E3">
        <w:t>ган</w:t>
      </w:r>
      <w:r w:rsidR="003544B4" w:rsidRPr="0029403D">
        <w:t>ский социально-культурный комплекс»</w:t>
      </w:r>
      <w:r w:rsidR="007026D6" w:rsidRPr="0029403D">
        <w:t>)</w:t>
      </w:r>
      <w:r w:rsidR="0002517C" w:rsidRPr="0029403D">
        <w:t>, соблюд</w:t>
      </w:r>
      <w:r w:rsidR="00007D23" w:rsidRPr="0029403D">
        <w:t>ается</w:t>
      </w:r>
      <w:r w:rsidR="0002517C" w:rsidRPr="0029403D">
        <w:t xml:space="preserve"> принцип подведомственности при финансировании (отсутствие среди получателей коммерческих организаций, учреждений других бюджетов</w:t>
      </w:r>
      <w:r w:rsidR="00007D23" w:rsidRPr="0029403D">
        <w:t>)</w:t>
      </w:r>
      <w:r w:rsidR="0002517C" w:rsidRPr="0029403D">
        <w:t>.</w:t>
      </w:r>
      <w:proofErr w:type="gramEnd"/>
    </w:p>
    <w:p w:rsidR="000A4A24" w:rsidRPr="0029403D" w:rsidRDefault="00596CD7" w:rsidP="000629CA">
      <w:pPr>
        <w:spacing w:before="60"/>
        <w:ind w:firstLine="567"/>
        <w:jc w:val="both"/>
      </w:pPr>
      <w:r w:rsidRPr="0029403D">
        <w:t>2.</w:t>
      </w:r>
      <w:r w:rsidR="004E3D6E" w:rsidRPr="0029403D">
        <w:t xml:space="preserve">2. </w:t>
      </w:r>
      <w:r w:rsidR="000A4A24" w:rsidRPr="0029403D">
        <w:t>Утверждены лимиты бюджетных обязательств, сводная бюджетная роспись, бю</w:t>
      </w:r>
      <w:r w:rsidR="000A4A24" w:rsidRPr="0029403D">
        <w:t>д</w:t>
      </w:r>
      <w:r w:rsidR="000A4A24" w:rsidRPr="0029403D">
        <w:t>жетная смета.</w:t>
      </w:r>
    </w:p>
    <w:p w:rsidR="004C5150" w:rsidRPr="002715B0" w:rsidRDefault="00596CD7" w:rsidP="000629CA">
      <w:pPr>
        <w:pStyle w:val="ConsNormal"/>
        <w:widowControl/>
        <w:tabs>
          <w:tab w:val="left" w:pos="1800"/>
        </w:tabs>
        <w:spacing w:before="60"/>
        <w:ind w:firstLine="567"/>
        <w:jc w:val="both"/>
        <w:rPr>
          <w:rFonts w:ascii="Times New Roman" w:hAnsi="Times New Roman"/>
          <w:sz w:val="24"/>
          <w:szCs w:val="24"/>
        </w:rPr>
      </w:pPr>
      <w:r w:rsidRPr="002715B0">
        <w:rPr>
          <w:rFonts w:ascii="Times New Roman" w:hAnsi="Times New Roman"/>
          <w:sz w:val="24"/>
          <w:szCs w:val="24"/>
        </w:rPr>
        <w:t>2.</w:t>
      </w:r>
      <w:r w:rsidR="004E3D6E" w:rsidRPr="002715B0">
        <w:rPr>
          <w:rFonts w:ascii="Times New Roman" w:hAnsi="Times New Roman"/>
          <w:sz w:val="24"/>
          <w:szCs w:val="24"/>
        </w:rPr>
        <w:t xml:space="preserve">3. </w:t>
      </w:r>
      <w:r w:rsidR="00925C41" w:rsidRPr="002715B0">
        <w:rPr>
          <w:rFonts w:ascii="Times New Roman" w:hAnsi="Times New Roman"/>
          <w:sz w:val="24"/>
          <w:szCs w:val="24"/>
        </w:rPr>
        <w:t>Размещение заказа на поставку товаров, работ, услуг для государственных и мун</w:t>
      </w:r>
      <w:r w:rsidR="00925C41" w:rsidRPr="002715B0">
        <w:rPr>
          <w:rFonts w:ascii="Times New Roman" w:hAnsi="Times New Roman"/>
          <w:sz w:val="24"/>
          <w:szCs w:val="24"/>
        </w:rPr>
        <w:t>и</w:t>
      </w:r>
      <w:r w:rsidR="00925C41" w:rsidRPr="002715B0">
        <w:rPr>
          <w:rFonts w:ascii="Times New Roman" w:hAnsi="Times New Roman"/>
          <w:sz w:val="24"/>
          <w:szCs w:val="24"/>
        </w:rPr>
        <w:t xml:space="preserve">ципальных нужд производится в соответствие с </w:t>
      </w:r>
      <w:r w:rsidR="00E34912" w:rsidRPr="002715B0">
        <w:rPr>
          <w:rFonts w:ascii="Times New Roman" w:hAnsi="Times New Roman"/>
          <w:sz w:val="24"/>
          <w:szCs w:val="24"/>
        </w:rPr>
        <w:t xml:space="preserve">Федеральным законом от </w:t>
      </w:r>
      <w:r w:rsidR="00E34912">
        <w:rPr>
          <w:rFonts w:ascii="Times New Roman" w:hAnsi="Times New Roman"/>
          <w:sz w:val="24"/>
          <w:szCs w:val="24"/>
        </w:rPr>
        <w:t>05</w:t>
      </w:r>
      <w:r w:rsidR="00E34912" w:rsidRPr="002715B0">
        <w:rPr>
          <w:rFonts w:ascii="Times New Roman" w:hAnsi="Times New Roman"/>
          <w:sz w:val="24"/>
          <w:szCs w:val="24"/>
        </w:rPr>
        <w:t>.0</w:t>
      </w:r>
      <w:r w:rsidR="00E34912">
        <w:rPr>
          <w:rFonts w:ascii="Times New Roman" w:hAnsi="Times New Roman"/>
          <w:sz w:val="24"/>
          <w:szCs w:val="24"/>
        </w:rPr>
        <w:t>4</w:t>
      </w:r>
      <w:r w:rsidR="00E34912" w:rsidRPr="002715B0">
        <w:rPr>
          <w:rFonts w:ascii="Times New Roman" w:hAnsi="Times New Roman"/>
          <w:sz w:val="24"/>
          <w:szCs w:val="24"/>
        </w:rPr>
        <w:t>.</w:t>
      </w:r>
      <w:r w:rsidR="00057FA2">
        <w:rPr>
          <w:rFonts w:ascii="Times New Roman" w:hAnsi="Times New Roman"/>
          <w:sz w:val="24"/>
          <w:szCs w:val="24"/>
        </w:rPr>
        <w:t>2014</w:t>
      </w:r>
      <w:r w:rsidR="00E34912" w:rsidRPr="002715B0">
        <w:rPr>
          <w:rFonts w:ascii="Times New Roman" w:hAnsi="Times New Roman"/>
          <w:sz w:val="24"/>
          <w:szCs w:val="24"/>
        </w:rPr>
        <w:t xml:space="preserve"> </w:t>
      </w:r>
      <w:r w:rsidR="00E34912">
        <w:rPr>
          <w:rFonts w:ascii="Times New Roman" w:hAnsi="Times New Roman"/>
          <w:sz w:val="24"/>
          <w:szCs w:val="24"/>
        </w:rPr>
        <w:t>№</w:t>
      </w:r>
      <w:r w:rsidR="00E34912" w:rsidRPr="002715B0">
        <w:rPr>
          <w:rFonts w:ascii="Times New Roman" w:hAnsi="Times New Roman"/>
          <w:sz w:val="24"/>
          <w:szCs w:val="24"/>
        </w:rPr>
        <w:t xml:space="preserve"> </w:t>
      </w:r>
      <w:r w:rsidR="00E34912">
        <w:rPr>
          <w:rFonts w:ascii="Times New Roman" w:hAnsi="Times New Roman"/>
          <w:sz w:val="24"/>
          <w:szCs w:val="24"/>
        </w:rPr>
        <w:t>4</w:t>
      </w:r>
      <w:r w:rsidR="00E34912" w:rsidRPr="002715B0">
        <w:rPr>
          <w:rFonts w:ascii="Times New Roman" w:hAnsi="Times New Roman"/>
          <w:sz w:val="24"/>
          <w:szCs w:val="24"/>
        </w:rPr>
        <w:t xml:space="preserve">4-ФЗ «О </w:t>
      </w:r>
      <w:r w:rsidR="00E34912">
        <w:rPr>
          <w:rFonts w:ascii="Times New Roman" w:hAnsi="Times New Roman"/>
          <w:sz w:val="24"/>
          <w:szCs w:val="24"/>
        </w:rPr>
        <w:t>контрактной системе в сфере закупок</w:t>
      </w:r>
      <w:r w:rsidR="00E34912" w:rsidRPr="002715B0">
        <w:rPr>
          <w:rFonts w:ascii="Times New Roman" w:hAnsi="Times New Roman"/>
          <w:sz w:val="24"/>
          <w:szCs w:val="24"/>
        </w:rPr>
        <w:t xml:space="preserve"> товаров, работ, услуг для </w:t>
      </w:r>
      <w:r w:rsidR="00E34912">
        <w:rPr>
          <w:rFonts w:ascii="Times New Roman" w:hAnsi="Times New Roman"/>
          <w:sz w:val="24"/>
          <w:szCs w:val="24"/>
        </w:rPr>
        <w:t xml:space="preserve">обеспечения </w:t>
      </w:r>
      <w:r w:rsidR="00E34912" w:rsidRPr="002715B0">
        <w:rPr>
          <w:rFonts w:ascii="Times New Roman" w:hAnsi="Times New Roman"/>
          <w:sz w:val="24"/>
          <w:szCs w:val="24"/>
        </w:rPr>
        <w:t>госуда</w:t>
      </w:r>
      <w:r w:rsidR="00E34912" w:rsidRPr="002715B0">
        <w:rPr>
          <w:rFonts w:ascii="Times New Roman" w:hAnsi="Times New Roman"/>
          <w:sz w:val="24"/>
          <w:szCs w:val="24"/>
        </w:rPr>
        <w:t>р</w:t>
      </w:r>
      <w:r w:rsidR="00E34912" w:rsidRPr="002715B0">
        <w:rPr>
          <w:rFonts w:ascii="Times New Roman" w:hAnsi="Times New Roman"/>
          <w:sz w:val="24"/>
          <w:szCs w:val="24"/>
        </w:rPr>
        <w:t>ственных и муниципальных нужд»</w:t>
      </w:r>
      <w:r w:rsidR="00E34912">
        <w:rPr>
          <w:rFonts w:ascii="Times New Roman" w:hAnsi="Times New Roman"/>
          <w:sz w:val="24"/>
          <w:szCs w:val="24"/>
        </w:rPr>
        <w:t>.</w:t>
      </w:r>
    </w:p>
    <w:p w:rsidR="000C129B" w:rsidRPr="005128C4" w:rsidRDefault="008F0C00" w:rsidP="00215836">
      <w:pPr>
        <w:pStyle w:val="ConsNormal"/>
        <w:widowControl/>
        <w:tabs>
          <w:tab w:val="left" w:pos="1800"/>
        </w:tabs>
        <w:spacing w:before="40"/>
        <w:ind w:firstLine="567"/>
        <w:jc w:val="both"/>
        <w:rPr>
          <w:rFonts w:ascii="Times New Roman" w:hAnsi="Times New Roman"/>
          <w:b/>
          <w:i/>
          <w:sz w:val="24"/>
          <w:szCs w:val="24"/>
        </w:rPr>
      </w:pPr>
      <w:r w:rsidRPr="001D7FC1">
        <w:rPr>
          <w:rFonts w:ascii="Times New Roman" w:hAnsi="Times New Roman"/>
          <w:sz w:val="24"/>
          <w:szCs w:val="24"/>
        </w:rPr>
        <w:t>В результате анализа реестра закупок выявлено</w:t>
      </w:r>
      <w:r w:rsidR="008F1FE4">
        <w:rPr>
          <w:rFonts w:ascii="Times New Roman" w:hAnsi="Times New Roman"/>
          <w:sz w:val="24"/>
          <w:szCs w:val="24"/>
        </w:rPr>
        <w:t xml:space="preserve">, что </w:t>
      </w:r>
      <w:r w:rsidRPr="001D7FC1">
        <w:rPr>
          <w:rFonts w:ascii="Times New Roman" w:hAnsi="Times New Roman"/>
          <w:sz w:val="24"/>
          <w:szCs w:val="24"/>
        </w:rPr>
        <w:t xml:space="preserve">в </w:t>
      </w:r>
      <w:r w:rsidR="000C129B" w:rsidRPr="000C129B">
        <w:rPr>
          <w:rFonts w:ascii="Times New Roman" w:hAnsi="Times New Roman"/>
          <w:b/>
          <w:i/>
          <w:sz w:val="24"/>
          <w:szCs w:val="24"/>
        </w:rPr>
        <w:t xml:space="preserve">нарушение подпункта 4 пункта </w:t>
      </w:r>
      <w:r w:rsidRPr="000C129B">
        <w:rPr>
          <w:rFonts w:ascii="Times New Roman" w:hAnsi="Times New Roman"/>
          <w:b/>
          <w:i/>
          <w:sz w:val="24"/>
          <w:szCs w:val="24"/>
        </w:rPr>
        <w:t>1</w:t>
      </w:r>
      <w:r w:rsidR="000C129B" w:rsidRPr="000C129B">
        <w:rPr>
          <w:rFonts w:ascii="Times New Roman" w:hAnsi="Times New Roman"/>
          <w:b/>
          <w:i/>
          <w:sz w:val="24"/>
          <w:szCs w:val="24"/>
        </w:rPr>
        <w:t xml:space="preserve"> статьи 93 Федерального закона от 05.04.</w:t>
      </w:r>
      <w:r w:rsidR="00057FA2">
        <w:rPr>
          <w:rFonts w:ascii="Times New Roman" w:hAnsi="Times New Roman"/>
          <w:b/>
          <w:i/>
          <w:sz w:val="24"/>
          <w:szCs w:val="24"/>
        </w:rPr>
        <w:t>2014</w:t>
      </w:r>
      <w:r w:rsidR="000C129B" w:rsidRPr="000C129B">
        <w:rPr>
          <w:rFonts w:ascii="Times New Roman" w:hAnsi="Times New Roman"/>
          <w:b/>
          <w:i/>
          <w:sz w:val="24"/>
          <w:szCs w:val="24"/>
        </w:rPr>
        <w:t xml:space="preserve"> № 44-ФЗ:</w:t>
      </w:r>
    </w:p>
    <w:p w:rsidR="000C129B" w:rsidRPr="000C129B" w:rsidRDefault="008F0C00" w:rsidP="000C129B">
      <w:pPr>
        <w:widowControl w:val="0"/>
        <w:autoSpaceDE w:val="0"/>
        <w:autoSpaceDN w:val="0"/>
        <w:adjustRightInd w:val="0"/>
        <w:spacing w:before="40"/>
        <w:ind w:firstLine="540"/>
        <w:jc w:val="both"/>
        <w:rPr>
          <w:i/>
          <w:sz w:val="20"/>
          <w:szCs w:val="20"/>
        </w:rPr>
      </w:pPr>
      <w:r w:rsidRPr="000C129B">
        <w:rPr>
          <w:i/>
          <w:sz w:val="20"/>
          <w:szCs w:val="20"/>
        </w:rPr>
        <w:t>«</w:t>
      </w:r>
      <w:r w:rsidR="000C129B" w:rsidRPr="000C129B">
        <w:rPr>
          <w:i/>
          <w:sz w:val="20"/>
          <w:szCs w:val="20"/>
        </w:rPr>
        <w:t>1. Закупка у единственного поставщика (подрядчика, исполнителя) может осуществляться заказч</w:t>
      </w:r>
      <w:r w:rsidR="000C129B" w:rsidRPr="000C129B">
        <w:rPr>
          <w:i/>
          <w:sz w:val="20"/>
          <w:szCs w:val="20"/>
        </w:rPr>
        <w:t>и</w:t>
      </w:r>
      <w:r w:rsidR="000C129B" w:rsidRPr="000C129B">
        <w:rPr>
          <w:i/>
          <w:sz w:val="20"/>
          <w:szCs w:val="20"/>
        </w:rPr>
        <w:t>ком в следующих случаях:</w:t>
      </w:r>
    </w:p>
    <w:p w:rsidR="008F0C00" w:rsidRPr="000C129B" w:rsidRDefault="000C129B" w:rsidP="000C129B">
      <w:pPr>
        <w:pStyle w:val="ConsPlusNormal"/>
        <w:spacing w:before="40" w:after="40"/>
        <w:ind w:firstLine="567"/>
        <w:jc w:val="both"/>
        <w:rPr>
          <w:rFonts w:ascii="Times New Roman" w:hAnsi="Times New Roman" w:cs="Times New Roman"/>
          <w:i/>
        </w:rPr>
      </w:pPr>
      <w:r w:rsidRPr="000C129B">
        <w:rPr>
          <w:rFonts w:ascii="Times New Roman" w:hAnsi="Times New Roman" w:cs="Times New Roman"/>
          <w:i/>
        </w:rPr>
        <w:t>4) осуществление закупки товара, работы или услуги на сумму, не превышающую ста тысяч рублей</w:t>
      </w:r>
      <w:r>
        <w:rPr>
          <w:rFonts w:ascii="Times New Roman" w:hAnsi="Times New Roman" w:cs="Times New Roman"/>
          <w:i/>
        </w:rPr>
        <w:t>»,</w:t>
      </w:r>
    </w:p>
    <w:p w:rsidR="000C129B" w:rsidRDefault="000C129B" w:rsidP="00213F69">
      <w:pPr>
        <w:pStyle w:val="ConsPlusNormal"/>
        <w:spacing w:before="40"/>
        <w:ind w:firstLine="540"/>
        <w:jc w:val="both"/>
        <w:rPr>
          <w:rFonts w:ascii="Times New Roman" w:hAnsi="Times New Roman" w:cs="Times New Roman"/>
          <w:sz w:val="24"/>
          <w:szCs w:val="24"/>
        </w:rPr>
      </w:pPr>
      <w:r>
        <w:rPr>
          <w:rFonts w:ascii="Times New Roman" w:hAnsi="Times New Roman" w:cs="Times New Roman"/>
          <w:sz w:val="24"/>
          <w:szCs w:val="24"/>
        </w:rPr>
        <w:t>осуществлены закупки на сумму, превышающую сто тысяч рублей, а именно:</w:t>
      </w:r>
    </w:p>
    <w:p w:rsidR="000C129B" w:rsidRDefault="000C129B" w:rsidP="00215836">
      <w:pPr>
        <w:pStyle w:val="ConsPlusNormal"/>
        <w:spacing w:before="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629CA">
        <w:rPr>
          <w:rFonts w:ascii="Times New Roman" w:hAnsi="Times New Roman" w:cs="Times New Roman"/>
          <w:sz w:val="24"/>
          <w:szCs w:val="24"/>
        </w:rPr>
        <w:t>31</w:t>
      </w:r>
      <w:r>
        <w:rPr>
          <w:rFonts w:ascii="Times New Roman" w:hAnsi="Times New Roman" w:cs="Times New Roman"/>
          <w:sz w:val="24"/>
          <w:szCs w:val="24"/>
        </w:rPr>
        <w:t>.08.</w:t>
      </w:r>
      <w:r w:rsidR="00057FA2">
        <w:rPr>
          <w:rFonts w:ascii="Times New Roman" w:hAnsi="Times New Roman" w:cs="Times New Roman"/>
          <w:sz w:val="24"/>
          <w:szCs w:val="24"/>
        </w:rPr>
        <w:t>2015</w:t>
      </w:r>
      <w:r>
        <w:rPr>
          <w:rFonts w:ascii="Times New Roman" w:hAnsi="Times New Roman" w:cs="Times New Roman"/>
          <w:sz w:val="24"/>
          <w:szCs w:val="24"/>
        </w:rPr>
        <w:t xml:space="preserve"> </w:t>
      </w:r>
      <w:r w:rsidR="000629CA">
        <w:rPr>
          <w:rFonts w:ascii="Times New Roman" w:hAnsi="Times New Roman" w:cs="Times New Roman"/>
          <w:sz w:val="24"/>
          <w:szCs w:val="24"/>
        </w:rPr>
        <w:t>МУП</w:t>
      </w:r>
      <w:r>
        <w:rPr>
          <w:rFonts w:ascii="Times New Roman" w:hAnsi="Times New Roman" w:cs="Times New Roman"/>
          <w:sz w:val="24"/>
          <w:szCs w:val="24"/>
        </w:rPr>
        <w:t xml:space="preserve"> «</w:t>
      </w:r>
      <w:r w:rsidR="000629CA">
        <w:rPr>
          <w:rFonts w:ascii="Times New Roman" w:hAnsi="Times New Roman" w:cs="Times New Roman"/>
          <w:sz w:val="24"/>
          <w:szCs w:val="24"/>
        </w:rPr>
        <w:t>Коммунальный комплекс Каргатского района</w:t>
      </w:r>
      <w:r>
        <w:rPr>
          <w:rFonts w:ascii="Times New Roman" w:hAnsi="Times New Roman" w:cs="Times New Roman"/>
          <w:sz w:val="24"/>
          <w:szCs w:val="24"/>
        </w:rPr>
        <w:t xml:space="preserve">»  </w:t>
      </w:r>
      <w:r w:rsidR="002A4D59">
        <w:rPr>
          <w:rFonts w:ascii="Times New Roman" w:hAnsi="Times New Roman" w:cs="Times New Roman"/>
          <w:sz w:val="24"/>
          <w:szCs w:val="24"/>
        </w:rPr>
        <w:t xml:space="preserve">– </w:t>
      </w:r>
      <w:r w:rsidR="000629CA">
        <w:rPr>
          <w:rFonts w:ascii="Times New Roman" w:hAnsi="Times New Roman" w:cs="Times New Roman"/>
          <w:sz w:val="24"/>
          <w:szCs w:val="24"/>
        </w:rPr>
        <w:t>292 022</w:t>
      </w:r>
      <w:r w:rsidRPr="000C129B">
        <w:rPr>
          <w:rFonts w:ascii="Times New Roman" w:hAnsi="Times New Roman" w:cs="Times New Roman"/>
          <w:sz w:val="24"/>
          <w:szCs w:val="24"/>
        </w:rPr>
        <w:t>,</w:t>
      </w:r>
      <w:r w:rsidR="000629CA">
        <w:rPr>
          <w:rFonts w:ascii="Times New Roman" w:hAnsi="Times New Roman" w:cs="Times New Roman"/>
          <w:sz w:val="24"/>
          <w:szCs w:val="24"/>
        </w:rPr>
        <w:t>00 руб.</w:t>
      </w:r>
    </w:p>
    <w:p w:rsidR="008F0C00" w:rsidRPr="0029403D" w:rsidRDefault="008F0C00" w:rsidP="00215836">
      <w:pPr>
        <w:pStyle w:val="ConsPlusNormal"/>
        <w:spacing w:before="40"/>
        <w:ind w:firstLine="540"/>
        <w:jc w:val="both"/>
        <w:rPr>
          <w:rFonts w:ascii="Times New Roman" w:hAnsi="Times New Roman" w:cs="Times New Roman"/>
          <w:sz w:val="24"/>
          <w:szCs w:val="24"/>
        </w:rPr>
      </w:pPr>
      <w:r w:rsidRPr="0029403D">
        <w:rPr>
          <w:rFonts w:ascii="Times New Roman" w:hAnsi="Times New Roman" w:cs="Times New Roman"/>
          <w:sz w:val="24"/>
          <w:szCs w:val="24"/>
        </w:rPr>
        <w:t>В реестре закупок не по всем позициям присутствует краткое наименование закупа</w:t>
      </w:r>
      <w:r w:rsidRPr="0029403D">
        <w:rPr>
          <w:rFonts w:ascii="Times New Roman" w:hAnsi="Times New Roman" w:cs="Times New Roman"/>
          <w:sz w:val="24"/>
          <w:szCs w:val="24"/>
        </w:rPr>
        <w:t>е</w:t>
      </w:r>
      <w:r w:rsidRPr="0029403D">
        <w:rPr>
          <w:rFonts w:ascii="Times New Roman" w:hAnsi="Times New Roman" w:cs="Times New Roman"/>
          <w:sz w:val="24"/>
          <w:szCs w:val="24"/>
        </w:rPr>
        <w:t>мых товаров, работ и услуг</w:t>
      </w:r>
      <w:r w:rsidR="000629CA">
        <w:rPr>
          <w:rFonts w:ascii="Times New Roman" w:hAnsi="Times New Roman" w:cs="Times New Roman"/>
          <w:sz w:val="24"/>
          <w:szCs w:val="24"/>
        </w:rPr>
        <w:t>; местонахождение поставщиков, подрядчиков и исполнителей услуг</w:t>
      </w:r>
      <w:r w:rsidRPr="0029403D">
        <w:rPr>
          <w:rFonts w:ascii="Times New Roman" w:hAnsi="Times New Roman" w:cs="Times New Roman"/>
          <w:sz w:val="24"/>
          <w:szCs w:val="24"/>
        </w:rPr>
        <w:t xml:space="preserve">. </w:t>
      </w:r>
      <w:r w:rsidRPr="005128C4">
        <w:rPr>
          <w:rFonts w:ascii="Times New Roman" w:hAnsi="Times New Roman" w:cs="Times New Roman"/>
          <w:b/>
          <w:i/>
          <w:sz w:val="24"/>
          <w:szCs w:val="24"/>
        </w:rPr>
        <w:t>Тем самым нарушен пункт 2 статьи 73 БК РФ:</w:t>
      </w:r>
    </w:p>
    <w:p w:rsidR="008F0C00" w:rsidRPr="001D7FC1" w:rsidRDefault="008F0C00" w:rsidP="008F0C00">
      <w:pPr>
        <w:pStyle w:val="ConsPlusNormal"/>
        <w:ind w:firstLine="567"/>
        <w:jc w:val="both"/>
        <w:rPr>
          <w:rFonts w:ascii="Times New Roman" w:hAnsi="Times New Roman" w:cs="Times New Roman"/>
          <w:i/>
        </w:rPr>
      </w:pPr>
      <w:r w:rsidRPr="001D7FC1">
        <w:rPr>
          <w:rFonts w:ascii="Times New Roman" w:hAnsi="Times New Roman" w:cs="Times New Roman"/>
          <w:i/>
        </w:rPr>
        <w:t>«Реестры закупок, осуществленных без заключения государственных или муниципальных контрактов, должны содержать следующие сведения:</w:t>
      </w:r>
    </w:p>
    <w:p w:rsidR="008F0C00" w:rsidRPr="001D7FC1" w:rsidRDefault="008F0C00" w:rsidP="008F0C00">
      <w:pPr>
        <w:pStyle w:val="ConsPlusNormal"/>
        <w:ind w:firstLine="567"/>
        <w:jc w:val="both"/>
        <w:rPr>
          <w:rFonts w:ascii="Times New Roman" w:hAnsi="Times New Roman" w:cs="Times New Roman"/>
          <w:i/>
        </w:rPr>
      </w:pPr>
      <w:r w:rsidRPr="001D7FC1">
        <w:rPr>
          <w:rFonts w:ascii="Times New Roman" w:hAnsi="Times New Roman" w:cs="Times New Roman"/>
          <w:i/>
        </w:rPr>
        <w:t>краткое наименование закупаемых товаров, работ и услуг;</w:t>
      </w:r>
    </w:p>
    <w:p w:rsidR="008F0C00" w:rsidRPr="001D7FC1" w:rsidRDefault="008F0C00" w:rsidP="008F0C00">
      <w:pPr>
        <w:pStyle w:val="ConsPlusNormal"/>
        <w:ind w:firstLine="567"/>
        <w:jc w:val="both"/>
        <w:rPr>
          <w:rFonts w:ascii="Times New Roman" w:hAnsi="Times New Roman" w:cs="Times New Roman"/>
          <w:i/>
        </w:rPr>
      </w:pPr>
      <w:r w:rsidRPr="001D7FC1">
        <w:rPr>
          <w:rFonts w:ascii="Times New Roman" w:hAnsi="Times New Roman" w:cs="Times New Roman"/>
          <w:i/>
        </w:rPr>
        <w:t>наименование и местонахождение поставщиков, подрядчиков и исполнителей услуг;</w:t>
      </w:r>
    </w:p>
    <w:p w:rsidR="008F0C00" w:rsidRPr="001D7FC1" w:rsidRDefault="008F0C00" w:rsidP="008F0C00">
      <w:pPr>
        <w:pStyle w:val="ConsPlusNormal"/>
        <w:ind w:firstLine="567"/>
        <w:jc w:val="both"/>
        <w:rPr>
          <w:rFonts w:ascii="Times New Roman" w:hAnsi="Times New Roman" w:cs="Times New Roman"/>
          <w:i/>
        </w:rPr>
      </w:pPr>
      <w:r w:rsidRPr="001D7FC1">
        <w:rPr>
          <w:rFonts w:ascii="Times New Roman" w:hAnsi="Times New Roman" w:cs="Times New Roman"/>
          <w:i/>
        </w:rPr>
        <w:t>цена и дата закупки».</w:t>
      </w:r>
    </w:p>
    <w:p w:rsidR="002A4D59" w:rsidRDefault="002A4D59" w:rsidP="002A4D59">
      <w:pPr>
        <w:spacing w:before="60"/>
        <w:ind w:firstLine="567"/>
        <w:jc w:val="both"/>
      </w:pPr>
      <w:r w:rsidRPr="00394828">
        <w:rPr>
          <w:b/>
          <w:i/>
        </w:rPr>
        <w:t>На данн</w:t>
      </w:r>
      <w:r>
        <w:rPr>
          <w:b/>
          <w:i/>
        </w:rPr>
        <w:t>ое нарушение</w:t>
      </w:r>
      <w:r w:rsidRPr="00394828">
        <w:rPr>
          <w:b/>
          <w:i/>
        </w:rPr>
        <w:t xml:space="preserve"> было указано в экспертн</w:t>
      </w:r>
      <w:r w:rsidR="000629CA">
        <w:rPr>
          <w:b/>
          <w:i/>
        </w:rPr>
        <w:t>ых</w:t>
      </w:r>
      <w:r w:rsidRPr="00394828">
        <w:rPr>
          <w:b/>
          <w:i/>
        </w:rPr>
        <w:t xml:space="preserve"> заключени</w:t>
      </w:r>
      <w:r w:rsidR="000629CA">
        <w:rPr>
          <w:b/>
          <w:i/>
        </w:rPr>
        <w:t>ях</w:t>
      </w:r>
      <w:r w:rsidRPr="00394828">
        <w:rPr>
          <w:b/>
          <w:i/>
        </w:rPr>
        <w:t xml:space="preserve"> по результатам внешней проверки годов</w:t>
      </w:r>
      <w:r w:rsidR="000629CA">
        <w:rPr>
          <w:b/>
          <w:i/>
        </w:rPr>
        <w:t>ых</w:t>
      </w:r>
      <w:r w:rsidRPr="00394828">
        <w:rPr>
          <w:b/>
          <w:i/>
        </w:rPr>
        <w:t xml:space="preserve"> отчёт</w:t>
      </w:r>
      <w:r w:rsidR="000629CA">
        <w:rPr>
          <w:b/>
          <w:i/>
        </w:rPr>
        <w:t>ов</w:t>
      </w:r>
      <w:r w:rsidRPr="00394828">
        <w:rPr>
          <w:b/>
          <w:i/>
        </w:rPr>
        <w:t xml:space="preserve"> об исполнении бюджета за </w:t>
      </w:r>
      <w:r w:rsidR="000629CA">
        <w:rPr>
          <w:b/>
          <w:i/>
        </w:rPr>
        <w:t xml:space="preserve">2013, </w:t>
      </w:r>
      <w:r w:rsidR="00057FA2">
        <w:rPr>
          <w:b/>
          <w:i/>
        </w:rPr>
        <w:t>2014</w:t>
      </w:r>
      <w:r w:rsidRPr="00394828">
        <w:rPr>
          <w:b/>
          <w:i/>
        </w:rPr>
        <w:t xml:space="preserve"> год</w:t>
      </w:r>
      <w:r w:rsidR="000629CA">
        <w:rPr>
          <w:b/>
          <w:i/>
        </w:rPr>
        <w:t>ы</w:t>
      </w:r>
      <w:r w:rsidRPr="00394828">
        <w:rPr>
          <w:b/>
          <w:i/>
        </w:rPr>
        <w:t>.</w:t>
      </w:r>
    </w:p>
    <w:p w:rsidR="00D84D97" w:rsidRDefault="00596CD7" w:rsidP="00215836">
      <w:pPr>
        <w:spacing w:before="40"/>
        <w:ind w:firstLine="567"/>
        <w:jc w:val="both"/>
      </w:pPr>
      <w:r w:rsidRPr="0029403D">
        <w:t>2.</w:t>
      </w:r>
      <w:r w:rsidR="00E34912">
        <w:t>4</w:t>
      </w:r>
      <w:r w:rsidR="00782AEC" w:rsidRPr="0029403D">
        <w:t xml:space="preserve">. </w:t>
      </w:r>
      <w:r w:rsidR="00C72D66" w:rsidRPr="0029403D">
        <w:t>Проанализировано</w:t>
      </w:r>
      <w:r w:rsidR="00782AEC" w:rsidRPr="0029403D">
        <w:t xml:space="preserve"> общее соответствие бюджетной отчетности требованиям, предъявляемым Инструкцией, утвержденной Приказом Минфина РФ № </w:t>
      </w:r>
      <w:r w:rsidR="00B1297E" w:rsidRPr="0029403D">
        <w:t>191</w:t>
      </w:r>
      <w:r w:rsidR="00782AEC" w:rsidRPr="0029403D">
        <w:t>н от 2</w:t>
      </w:r>
      <w:r w:rsidR="00B1297E" w:rsidRPr="0029403D">
        <w:t>8</w:t>
      </w:r>
      <w:r w:rsidR="00782AEC" w:rsidRPr="0029403D">
        <w:t>.1</w:t>
      </w:r>
      <w:r w:rsidR="00B1297E" w:rsidRPr="0029403D">
        <w:t>2</w:t>
      </w:r>
      <w:r w:rsidR="00782AEC" w:rsidRPr="0029403D">
        <w:t>.</w:t>
      </w:r>
      <w:r w:rsidR="00A20F54">
        <w:t>2010</w:t>
      </w:r>
      <w:r w:rsidR="00EC63AF">
        <w:t>:</w:t>
      </w:r>
      <w:r w:rsidR="004679EC">
        <w:t xml:space="preserve"> </w:t>
      </w:r>
    </w:p>
    <w:p w:rsidR="00EC63AF" w:rsidRDefault="00EC63AF" w:rsidP="00791A2A">
      <w:pPr>
        <w:spacing w:before="40"/>
        <w:ind w:firstLine="567"/>
        <w:jc w:val="both"/>
        <w:rPr>
          <w:bCs/>
        </w:rPr>
      </w:pPr>
      <w:r>
        <w:t xml:space="preserve">- </w:t>
      </w:r>
      <w:r w:rsidR="002A4D59">
        <w:t xml:space="preserve">не заполнены </w:t>
      </w:r>
      <w:r>
        <w:t>таблиц</w:t>
      </w:r>
      <w:r w:rsidR="002A4D59">
        <w:t>ы</w:t>
      </w:r>
      <w:r>
        <w:t xml:space="preserve"> №</w:t>
      </w:r>
      <w:r w:rsidR="002A4D59">
        <w:t>№ 1, 2</w:t>
      </w:r>
      <w:r>
        <w:t xml:space="preserve"> к пояснительной записке (ф. 0503160)</w:t>
      </w:r>
      <w:r w:rsidR="00791A2A">
        <w:t xml:space="preserve"> - </w:t>
      </w:r>
      <w:r w:rsidR="00791A2A" w:rsidRPr="00791A2A">
        <w:rPr>
          <w:b/>
          <w:i/>
        </w:rPr>
        <w:t>н</w:t>
      </w:r>
      <w:r w:rsidR="00791A2A" w:rsidRPr="00394828">
        <w:rPr>
          <w:b/>
          <w:i/>
        </w:rPr>
        <w:t>а данн</w:t>
      </w:r>
      <w:r w:rsidR="00791A2A">
        <w:rPr>
          <w:b/>
          <w:i/>
        </w:rPr>
        <w:t>ое з</w:t>
      </w:r>
      <w:r w:rsidR="00791A2A">
        <w:rPr>
          <w:b/>
          <w:i/>
        </w:rPr>
        <w:t>а</w:t>
      </w:r>
      <w:r w:rsidR="00791A2A">
        <w:rPr>
          <w:b/>
          <w:i/>
        </w:rPr>
        <w:t>мечание</w:t>
      </w:r>
      <w:r w:rsidR="00791A2A" w:rsidRPr="00394828">
        <w:rPr>
          <w:b/>
          <w:i/>
        </w:rPr>
        <w:t xml:space="preserve"> было указано в экспертн</w:t>
      </w:r>
      <w:r w:rsidR="00791A2A">
        <w:rPr>
          <w:b/>
          <w:i/>
        </w:rPr>
        <w:t>ом</w:t>
      </w:r>
      <w:r w:rsidR="00791A2A" w:rsidRPr="00394828">
        <w:rPr>
          <w:b/>
          <w:i/>
        </w:rPr>
        <w:t xml:space="preserve"> заключени</w:t>
      </w:r>
      <w:r w:rsidR="00791A2A">
        <w:rPr>
          <w:b/>
          <w:i/>
        </w:rPr>
        <w:t>и</w:t>
      </w:r>
      <w:r w:rsidR="00791A2A" w:rsidRPr="00394828">
        <w:rPr>
          <w:b/>
          <w:i/>
        </w:rPr>
        <w:t xml:space="preserve"> по результатам внешней проверки год</w:t>
      </w:r>
      <w:r w:rsidR="00791A2A" w:rsidRPr="00394828">
        <w:rPr>
          <w:b/>
          <w:i/>
        </w:rPr>
        <w:t>о</w:t>
      </w:r>
      <w:r w:rsidR="00791A2A" w:rsidRPr="00394828">
        <w:rPr>
          <w:b/>
          <w:i/>
        </w:rPr>
        <w:t>в</w:t>
      </w:r>
      <w:r w:rsidR="00791A2A">
        <w:rPr>
          <w:b/>
          <w:i/>
        </w:rPr>
        <w:t>ого</w:t>
      </w:r>
      <w:r w:rsidR="00791A2A" w:rsidRPr="00394828">
        <w:rPr>
          <w:b/>
          <w:i/>
        </w:rPr>
        <w:t xml:space="preserve"> отчёт</w:t>
      </w:r>
      <w:r w:rsidR="00791A2A">
        <w:rPr>
          <w:b/>
          <w:i/>
        </w:rPr>
        <w:t>а</w:t>
      </w:r>
      <w:r w:rsidR="00791A2A" w:rsidRPr="00394828">
        <w:rPr>
          <w:b/>
          <w:i/>
        </w:rPr>
        <w:t xml:space="preserve"> об исполнении бюджета за</w:t>
      </w:r>
      <w:r w:rsidR="00791A2A">
        <w:rPr>
          <w:b/>
          <w:i/>
        </w:rPr>
        <w:t xml:space="preserve"> 2014</w:t>
      </w:r>
      <w:r w:rsidR="00791A2A" w:rsidRPr="00394828">
        <w:rPr>
          <w:b/>
          <w:i/>
        </w:rPr>
        <w:t xml:space="preserve"> год</w:t>
      </w:r>
      <w:r w:rsidR="00791A2A">
        <w:rPr>
          <w:b/>
          <w:i/>
        </w:rPr>
        <w:t>ы</w:t>
      </w:r>
      <w:r w:rsidR="00213F69">
        <w:rPr>
          <w:bCs/>
        </w:rPr>
        <w:t>;</w:t>
      </w:r>
    </w:p>
    <w:p w:rsidR="00791A2A" w:rsidRDefault="00791A2A" w:rsidP="00791A2A">
      <w:pPr>
        <w:spacing w:before="40"/>
        <w:ind w:firstLine="567"/>
        <w:jc w:val="both"/>
        <w:rPr>
          <w:spacing w:val="-2"/>
        </w:rPr>
      </w:pPr>
      <w:r w:rsidRPr="00213CAB">
        <w:rPr>
          <w:spacing w:val="-2"/>
        </w:rPr>
        <w:t xml:space="preserve">- </w:t>
      </w:r>
      <w:r>
        <w:rPr>
          <w:spacing w:val="-2"/>
        </w:rPr>
        <w:t xml:space="preserve">согласно </w:t>
      </w:r>
      <w:r w:rsidRPr="00213CAB">
        <w:rPr>
          <w:spacing w:val="-2"/>
        </w:rPr>
        <w:t>данны</w:t>
      </w:r>
      <w:r>
        <w:rPr>
          <w:spacing w:val="-2"/>
        </w:rPr>
        <w:t>м</w:t>
      </w:r>
      <w:r w:rsidRPr="00213CAB">
        <w:rPr>
          <w:spacing w:val="-2"/>
        </w:rPr>
        <w:t xml:space="preserve"> таблицы</w:t>
      </w:r>
      <w:r>
        <w:rPr>
          <w:spacing w:val="-2"/>
        </w:rPr>
        <w:t xml:space="preserve"> № 6</w:t>
      </w:r>
      <w:r w:rsidRPr="00213CAB">
        <w:rPr>
          <w:spacing w:val="-2"/>
        </w:rPr>
        <w:t xml:space="preserve"> «</w:t>
      </w:r>
      <w:r w:rsidRPr="00FE740F">
        <w:rPr>
          <w:bCs/>
          <w:spacing w:val="-2"/>
        </w:rPr>
        <w:t>Сведения о проведении инвентаризаций</w:t>
      </w:r>
      <w:r w:rsidRPr="00213CAB">
        <w:rPr>
          <w:spacing w:val="-2"/>
        </w:rPr>
        <w:t>» к поясн</w:t>
      </w:r>
      <w:r w:rsidRPr="00213CAB">
        <w:rPr>
          <w:spacing w:val="-2"/>
        </w:rPr>
        <w:t>и</w:t>
      </w:r>
      <w:r w:rsidRPr="00213CAB">
        <w:rPr>
          <w:spacing w:val="-2"/>
        </w:rPr>
        <w:t xml:space="preserve">тельной записке (ф. 0503160) </w:t>
      </w:r>
      <w:r>
        <w:rPr>
          <w:spacing w:val="-2"/>
        </w:rPr>
        <w:t xml:space="preserve">инвентаризация имущества и обязательств </w:t>
      </w:r>
      <w:r w:rsidRPr="00213CAB">
        <w:rPr>
          <w:spacing w:val="-2"/>
        </w:rPr>
        <w:t xml:space="preserve">не </w:t>
      </w:r>
      <w:r>
        <w:rPr>
          <w:spacing w:val="-2"/>
        </w:rPr>
        <w:t xml:space="preserve">проводилась, </w:t>
      </w:r>
      <w:r w:rsidRPr="00FE740F">
        <w:rPr>
          <w:b/>
          <w:i/>
          <w:spacing w:val="-2"/>
        </w:rPr>
        <w:t>тем самым нарушен пункт 27 Положения по ведению бухгалтерского учёта и бухгалтерской отчётности в Российской Федерации, утверждённого приказом Министерства финансов Российской Федерации от 29.07.1998 № 34н:</w:t>
      </w:r>
    </w:p>
    <w:p w:rsidR="00791A2A" w:rsidRPr="00FE740F" w:rsidRDefault="00791A2A" w:rsidP="00791A2A">
      <w:pPr>
        <w:pStyle w:val="ConsPlusNormal"/>
        <w:spacing w:before="20"/>
        <w:ind w:firstLine="540"/>
        <w:jc w:val="both"/>
        <w:rPr>
          <w:rFonts w:ascii="Times New Roman" w:hAnsi="Times New Roman" w:cs="Times New Roman"/>
          <w:i/>
        </w:rPr>
      </w:pPr>
      <w:r w:rsidRPr="00FE740F">
        <w:rPr>
          <w:rFonts w:ascii="Times New Roman" w:hAnsi="Times New Roman" w:cs="Times New Roman"/>
          <w:i/>
          <w:spacing w:val="-2"/>
        </w:rPr>
        <w:t>«</w:t>
      </w:r>
      <w:r w:rsidRPr="00FE740F">
        <w:rPr>
          <w:rFonts w:ascii="Times New Roman" w:hAnsi="Times New Roman" w:cs="Times New Roman"/>
          <w:i/>
        </w:rPr>
        <w:t>27. Проведение инвентаризации обязательно:</w:t>
      </w:r>
    </w:p>
    <w:p w:rsidR="00791A2A" w:rsidRPr="00FE740F" w:rsidRDefault="00791A2A" w:rsidP="00791A2A">
      <w:pPr>
        <w:pStyle w:val="ConsPlusNormal"/>
        <w:spacing w:before="20"/>
        <w:ind w:firstLine="540"/>
        <w:jc w:val="both"/>
        <w:rPr>
          <w:rFonts w:ascii="Times New Roman" w:hAnsi="Times New Roman" w:cs="Times New Roman"/>
          <w:i/>
          <w:spacing w:val="-2"/>
        </w:rPr>
      </w:pPr>
      <w:r w:rsidRPr="00FE740F">
        <w:rPr>
          <w:rFonts w:ascii="Times New Roman" w:hAnsi="Times New Roman" w:cs="Times New Roman"/>
          <w:i/>
        </w:rPr>
        <w:t>перед составлением годовой бухгалтерской отчетности (кроме имущества, инвентаризация которого проводилась не ранее 1 октября отчетного года);</w:t>
      </w:r>
    </w:p>
    <w:p w:rsidR="00791A2A" w:rsidRPr="00715C1E" w:rsidRDefault="00791A2A" w:rsidP="00791A2A">
      <w:pPr>
        <w:spacing w:before="40"/>
        <w:ind w:firstLine="567"/>
        <w:jc w:val="both"/>
      </w:pPr>
      <w:r w:rsidRPr="00715C1E">
        <w:t>- в форме 0503177 «Сведения об использовании информационно-коммуникационных технологий» не указаны</w:t>
      </w:r>
      <w:r>
        <w:t xml:space="preserve"> о</w:t>
      </w:r>
      <w:r w:rsidRPr="00715C1E">
        <w:t>сновные цели произведенных расходов</w:t>
      </w:r>
      <w:r>
        <w:t>.</w:t>
      </w:r>
    </w:p>
    <w:p w:rsidR="002D2CA6" w:rsidRPr="00C04DCD" w:rsidRDefault="002D2CA6" w:rsidP="00215836">
      <w:pPr>
        <w:spacing w:before="40"/>
        <w:ind w:firstLine="567"/>
        <w:jc w:val="both"/>
      </w:pPr>
      <w:r>
        <w:t>2.</w:t>
      </w:r>
      <w:r w:rsidR="00E34912">
        <w:t>5</w:t>
      </w:r>
      <w:r>
        <w:t xml:space="preserve">. </w:t>
      </w:r>
      <w:r w:rsidRPr="00C04DCD">
        <w:t>Из формы 0503169 «Сведения о дебиторской и кредиторской задолженности» сл</w:t>
      </w:r>
      <w:r w:rsidRPr="00C04DCD">
        <w:t>е</w:t>
      </w:r>
      <w:r w:rsidRPr="00C04DCD">
        <w:t>дует, что дебиторская задолженность на 01.01.</w:t>
      </w:r>
      <w:r w:rsidR="00057FA2">
        <w:t>2016</w:t>
      </w:r>
      <w:r w:rsidRPr="00C04DCD">
        <w:t xml:space="preserve"> </w:t>
      </w:r>
      <w:r w:rsidR="002A4D59">
        <w:t>отсутствует</w:t>
      </w:r>
      <w:r w:rsidR="006250C0">
        <w:t xml:space="preserve">, </w:t>
      </w:r>
      <w:r w:rsidR="006250C0" w:rsidRPr="006250C0">
        <w:rPr>
          <w:i/>
        </w:rPr>
        <w:t>что не соответствует д</w:t>
      </w:r>
      <w:r w:rsidRPr="006250C0">
        <w:rPr>
          <w:i/>
        </w:rPr>
        <w:t>а</w:t>
      </w:r>
      <w:r w:rsidRPr="006250C0">
        <w:rPr>
          <w:i/>
        </w:rPr>
        <w:t>н</w:t>
      </w:r>
      <w:r w:rsidRPr="006250C0">
        <w:rPr>
          <w:i/>
        </w:rPr>
        <w:t>ны</w:t>
      </w:r>
      <w:r w:rsidR="006250C0" w:rsidRPr="006250C0">
        <w:rPr>
          <w:i/>
        </w:rPr>
        <w:t>м</w:t>
      </w:r>
      <w:r w:rsidRPr="006250C0">
        <w:rPr>
          <w:i/>
        </w:rPr>
        <w:t xml:space="preserve"> формы 0503120 «Баланс исполнения бюджета»</w:t>
      </w:r>
      <w:r w:rsidR="006250C0" w:rsidRPr="006250C0">
        <w:rPr>
          <w:i/>
        </w:rPr>
        <w:t xml:space="preserve"> (Расчеты по выданным авансам (020600000) – 5000,00 руб.)</w:t>
      </w:r>
      <w:r w:rsidRPr="006250C0">
        <w:rPr>
          <w:i/>
        </w:rPr>
        <w:t>.</w:t>
      </w:r>
    </w:p>
    <w:p w:rsidR="006250C0" w:rsidRPr="00215836" w:rsidRDefault="002D2CA6" w:rsidP="006250C0">
      <w:pPr>
        <w:pStyle w:val="ConsPlusNormal"/>
        <w:spacing w:before="40"/>
        <w:ind w:firstLine="539"/>
        <w:jc w:val="both"/>
        <w:rPr>
          <w:i/>
          <w:spacing w:val="-2"/>
        </w:rPr>
      </w:pPr>
      <w:r w:rsidRPr="00C20A7B">
        <w:rPr>
          <w:rFonts w:ascii="Times New Roman" w:hAnsi="Times New Roman" w:cs="Times New Roman"/>
          <w:sz w:val="24"/>
          <w:szCs w:val="24"/>
        </w:rPr>
        <w:t xml:space="preserve">Из формы 0503169 «Сведения о дебиторской и кредиторской задолженности» следует, что кредиторская задолженность – </w:t>
      </w:r>
      <w:r w:rsidR="006250C0">
        <w:rPr>
          <w:rFonts w:ascii="Times New Roman" w:hAnsi="Times New Roman" w:cs="Times New Roman"/>
          <w:sz w:val="24"/>
          <w:szCs w:val="24"/>
        </w:rPr>
        <w:t>6147611,</w:t>
      </w:r>
      <w:r w:rsidR="006250C0" w:rsidRPr="006250C0">
        <w:rPr>
          <w:rFonts w:ascii="Times New Roman" w:hAnsi="Times New Roman" w:cs="Times New Roman"/>
          <w:sz w:val="24"/>
          <w:szCs w:val="24"/>
        </w:rPr>
        <w:t>34</w:t>
      </w:r>
      <w:r w:rsidR="006250C0">
        <w:rPr>
          <w:rFonts w:ascii="Times New Roman" w:hAnsi="Times New Roman" w:cs="Times New Roman"/>
          <w:sz w:val="24"/>
          <w:szCs w:val="24"/>
        </w:rPr>
        <w:t xml:space="preserve"> </w:t>
      </w:r>
      <w:r w:rsidRPr="00C20A7B">
        <w:rPr>
          <w:rFonts w:ascii="Times New Roman" w:hAnsi="Times New Roman" w:cs="Times New Roman"/>
          <w:sz w:val="24"/>
          <w:szCs w:val="24"/>
        </w:rPr>
        <w:t>руб.</w:t>
      </w:r>
      <w:r w:rsidR="006250C0">
        <w:rPr>
          <w:rFonts w:ascii="Times New Roman" w:hAnsi="Times New Roman" w:cs="Times New Roman"/>
          <w:sz w:val="24"/>
          <w:szCs w:val="24"/>
        </w:rPr>
        <w:t xml:space="preserve">, в том числе возврат межбюджетных </w:t>
      </w:r>
      <w:r w:rsidR="006250C0">
        <w:rPr>
          <w:rFonts w:ascii="Times New Roman" w:hAnsi="Times New Roman" w:cs="Times New Roman"/>
          <w:sz w:val="24"/>
          <w:szCs w:val="24"/>
        </w:rPr>
        <w:lastRenderedPageBreak/>
        <w:t>трансфертов в бюджет муниципального района – 5615800,</w:t>
      </w:r>
      <w:r w:rsidR="006250C0" w:rsidRPr="006250C0">
        <w:rPr>
          <w:rFonts w:ascii="Times New Roman" w:hAnsi="Times New Roman" w:cs="Times New Roman"/>
          <w:sz w:val="24"/>
          <w:szCs w:val="24"/>
        </w:rPr>
        <w:t>51</w:t>
      </w:r>
      <w:r w:rsidRPr="00C20A7B">
        <w:rPr>
          <w:rFonts w:ascii="Times New Roman" w:hAnsi="Times New Roman" w:cs="Times New Roman"/>
          <w:sz w:val="24"/>
          <w:szCs w:val="24"/>
        </w:rPr>
        <w:t xml:space="preserve"> </w:t>
      </w:r>
      <w:r w:rsidR="006250C0">
        <w:rPr>
          <w:rFonts w:ascii="Times New Roman" w:hAnsi="Times New Roman" w:cs="Times New Roman"/>
          <w:sz w:val="24"/>
          <w:szCs w:val="24"/>
        </w:rPr>
        <w:t xml:space="preserve">руб., т.е. фактическая </w:t>
      </w:r>
      <w:r w:rsidR="006250C0" w:rsidRPr="00C20A7B">
        <w:rPr>
          <w:rFonts w:ascii="Times New Roman" w:hAnsi="Times New Roman" w:cs="Times New Roman"/>
          <w:sz w:val="24"/>
          <w:szCs w:val="24"/>
        </w:rPr>
        <w:t>кредито</w:t>
      </w:r>
      <w:r w:rsidR="006250C0" w:rsidRPr="00C20A7B">
        <w:rPr>
          <w:rFonts w:ascii="Times New Roman" w:hAnsi="Times New Roman" w:cs="Times New Roman"/>
          <w:sz w:val="24"/>
          <w:szCs w:val="24"/>
        </w:rPr>
        <w:t>р</w:t>
      </w:r>
      <w:r w:rsidR="006250C0" w:rsidRPr="00C20A7B">
        <w:rPr>
          <w:rFonts w:ascii="Times New Roman" w:hAnsi="Times New Roman" w:cs="Times New Roman"/>
          <w:sz w:val="24"/>
          <w:szCs w:val="24"/>
        </w:rPr>
        <w:t xml:space="preserve">ская задолженность </w:t>
      </w:r>
      <w:r w:rsidR="006250C0">
        <w:rPr>
          <w:rFonts w:ascii="Times New Roman" w:hAnsi="Times New Roman" w:cs="Times New Roman"/>
          <w:sz w:val="24"/>
          <w:szCs w:val="24"/>
        </w:rPr>
        <w:t xml:space="preserve">- </w:t>
      </w:r>
      <w:r w:rsidR="006250C0" w:rsidRPr="006250C0">
        <w:rPr>
          <w:rFonts w:ascii="Times New Roman" w:hAnsi="Times New Roman" w:cs="Times New Roman"/>
          <w:sz w:val="24"/>
          <w:szCs w:val="24"/>
        </w:rPr>
        <w:t xml:space="preserve">531810,83 </w:t>
      </w:r>
      <w:r w:rsidR="006250C0">
        <w:rPr>
          <w:rFonts w:ascii="Times New Roman" w:hAnsi="Times New Roman" w:cs="Times New Roman"/>
          <w:sz w:val="24"/>
          <w:szCs w:val="24"/>
        </w:rPr>
        <w:t xml:space="preserve">руб. </w:t>
      </w:r>
      <w:r w:rsidRPr="00C20A7B">
        <w:rPr>
          <w:rFonts w:ascii="Times New Roman" w:hAnsi="Times New Roman" w:cs="Times New Roman"/>
          <w:sz w:val="24"/>
          <w:szCs w:val="24"/>
        </w:rPr>
        <w:t xml:space="preserve">Данные  формы 0503169 соответствуют данным формы 0503120 «Баланс исполнения бюджета». Объём кредиторской задолженности по сравнению с </w:t>
      </w:r>
      <w:r w:rsidR="00057FA2">
        <w:rPr>
          <w:rFonts w:ascii="Times New Roman" w:hAnsi="Times New Roman" w:cs="Times New Roman"/>
          <w:sz w:val="24"/>
          <w:szCs w:val="24"/>
        </w:rPr>
        <w:t>2014</w:t>
      </w:r>
      <w:r w:rsidRPr="00C20A7B">
        <w:rPr>
          <w:rFonts w:ascii="Times New Roman" w:hAnsi="Times New Roman" w:cs="Times New Roman"/>
          <w:sz w:val="24"/>
          <w:szCs w:val="24"/>
        </w:rPr>
        <w:t xml:space="preserve"> годом </w:t>
      </w:r>
      <w:r w:rsidR="006250C0">
        <w:rPr>
          <w:rFonts w:ascii="Times New Roman" w:hAnsi="Times New Roman" w:cs="Times New Roman"/>
          <w:sz w:val="24"/>
          <w:szCs w:val="24"/>
        </w:rPr>
        <w:t>снизился</w:t>
      </w:r>
      <w:r w:rsidRPr="00C20A7B">
        <w:rPr>
          <w:rFonts w:ascii="Times New Roman" w:hAnsi="Times New Roman" w:cs="Times New Roman"/>
          <w:sz w:val="24"/>
          <w:szCs w:val="24"/>
        </w:rPr>
        <w:t xml:space="preserve"> на </w:t>
      </w:r>
      <w:r w:rsidR="006250C0" w:rsidRPr="006250C0">
        <w:rPr>
          <w:rFonts w:ascii="Times New Roman" w:hAnsi="Times New Roman" w:cs="Times New Roman"/>
          <w:sz w:val="24"/>
          <w:szCs w:val="24"/>
        </w:rPr>
        <w:t xml:space="preserve">465377,96 </w:t>
      </w:r>
      <w:r w:rsidRPr="00C20A7B">
        <w:rPr>
          <w:rFonts w:ascii="Times New Roman" w:hAnsi="Times New Roman" w:cs="Times New Roman"/>
          <w:sz w:val="24"/>
          <w:szCs w:val="24"/>
        </w:rPr>
        <w:t>руб.</w:t>
      </w:r>
      <w:r w:rsidR="001566DE">
        <w:rPr>
          <w:rFonts w:ascii="Times New Roman" w:hAnsi="Times New Roman" w:cs="Times New Roman"/>
          <w:sz w:val="24"/>
          <w:szCs w:val="24"/>
        </w:rPr>
        <w:t xml:space="preserve"> или на </w:t>
      </w:r>
      <w:r w:rsidR="006250C0">
        <w:rPr>
          <w:rFonts w:ascii="Times New Roman" w:hAnsi="Times New Roman" w:cs="Times New Roman"/>
          <w:sz w:val="24"/>
          <w:szCs w:val="24"/>
        </w:rPr>
        <w:t>46,7</w:t>
      </w:r>
      <w:r w:rsidR="001566DE">
        <w:rPr>
          <w:rFonts w:ascii="Times New Roman" w:hAnsi="Times New Roman" w:cs="Times New Roman"/>
          <w:sz w:val="24"/>
          <w:szCs w:val="24"/>
        </w:rPr>
        <w:t>%.</w:t>
      </w:r>
      <w:r w:rsidRPr="00C20A7B">
        <w:rPr>
          <w:rFonts w:ascii="Times New Roman" w:hAnsi="Times New Roman" w:cs="Times New Roman"/>
          <w:sz w:val="24"/>
          <w:szCs w:val="24"/>
        </w:rPr>
        <w:t xml:space="preserve"> </w:t>
      </w:r>
      <w:r w:rsidR="006250C0">
        <w:rPr>
          <w:rFonts w:ascii="Times New Roman" w:hAnsi="Times New Roman" w:cs="Times New Roman"/>
          <w:sz w:val="24"/>
          <w:szCs w:val="24"/>
        </w:rPr>
        <w:t xml:space="preserve">Основная составляющая </w:t>
      </w:r>
      <w:r w:rsidR="006250C0" w:rsidRPr="00C20A7B">
        <w:rPr>
          <w:rFonts w:ascii="Times New Roman" w:hAnsi="Times New Roman" w:cs="Times New Roman"/>
          <w:sz w:val="24"/>
          <w:szCs w:val="24"/>
        </w:rPr>
        <w:t>кредиторской задолженности</w:t>
      </w:r>
      <w:r w:rsidR="006250C0">
        <w:rPr>
          <w:rFonts w:ascii="Times New Roman" w:hAnsi="Times New Roman" w:cs="Times New Roman"/>
          <w:sz w:val="24"/>
          <w:szCs w:val="24"/>
        </w:rPr>
        <w:t xml:space="preserve"> задолженность за разработку генплана поселения в сумме 415,0 тыс. руб.</w:t>
      </w:r>
    </w:p>
    <w:p w:rsidR="009E2890" w:rsidRPr="00A20F54" w:rsidRDefault="007420F7" w:rsidP="006250C0">
      <w:pPr>
        <w:pStyle w:val="ConsPlusNormal"/>
        <w:spacing w:before="180"/>
        <w:ind w:firstLine="539"/>
        <w:jc w:val="both"/>
        <w:rPr>
          <w:rFonts w:ascii="Times New Roman" w:hAnsi="Times New Roman" w:cs="Times New Roman"/>
          <w:b/>
          <w:sz w:val="24"/>
          <w:szCs w:val="24"/>
        </w:rPr>
      </w:pPr>
      <w:r w:rsidRPr="00A20F54">
        <w:rPr>
          <w:rFonts w:ascii="Times New Roman" w:hAnsi="Times New Roman" w:cs="Times New Roman"/>
          <w:b/>
          <w:sz w:val="24"/>
          <w:szCs w:val="24"/>
        </w:rPr>
        <w:t>3</w:t>
      </w:r>
      <w:r w:rsidR="009E2890" w:rsidRPr="00A20F54">
        <w:rPr>
          <w:rFonts w:ascii="Times New Roman" w:hAnsi="Times New Roman" w:cs="Times New Roman"/>
          <w:b/>
          <w:sz w:val="24"/>
          <w:szCs w:val="24"/>
        </w:rPr>
        <w:t xml:space="preserve">. Анализ долговой политики </w:t>
      </w:r>
      <w:r w:rsidR="00E462E3" w:rsidRPr="00A20F54">
        <w:rPr>
          <w:rFonts w:ascii="Times New Roman" w:hAnsi="Times New Roman" w:cs="Times New Roman"/>
          <w:b/>
          <w:sz w:val="24"/>
          <w:szCs w:val="24"/>
        </w:rPr>
        <w:t>Карган</w:t>
      </w:r>
      <w:r w:rsidR="003D3C03" w:rsidRPr="00A20F54">
        <w:rPr>
          <w:rFonts w:ascii="Times New Roman" w:hAnsi="Times New Roman" w:cs="Times New Roman"/>
          <w:b/>
          <w:sz w:val="24"/>
          <w:szCs w:val="24"/>
        </w:rPr>
        <w:t>ского сельсовета</w:t>
      </w:r>
    </w:p>
    <w:p w:rsidR="001566DE" w:rsidRDefault="007420F7" w:rsidP="00B83A13">
      <w:pPr>
        <w:spacing w:before="60"/>
        <w:ind w:firstLine="567"/>
        <w:jc w:val="both"/>
      </w:pPr>
      <w:r w:rsidRPr="0029403D">
        <w:t xml:space="preserve">Согласно </w:t>
      </w:r>
      <w:r w:rsidR="00135AAE" w:rsidRPr="0029403D">
        <w:t>о</w:t>
      </w:r>
      <w:r w:rsidR="00726D20" w:rsidRPr="0029403D">
        <w:t xml:space="preserve">тчёту об исполнении </w:t>
      </w:r>
      <w:r w:rsidR="00C218BA" w:rsidRPr="0029403D">
        <w:t xml:space="preserve">местного </w:t>
      </w:r>
      <w:r w:rsidR="00726D20" w:rsidRPr="0029403D">
        <w:t xml:space="preserve">бюджета за </w:t>
      </w:r>
      <w:r w:rsidR="00057FA2">
        <w:t>2015</w:t>
      </w:r>
      <w:r w:rsidR="00726D20" w:rsidRPr="0029403D">
        <w:t xml:space="preserve"> год</w:t>
      </w:r>
      <w:r w:rsidRPr="0029403D">
        <w:t xml:space="preserve">, доходы </w:t>
      </w:r>
      <w:r w:rsidR="00882C08" w:rsidRPr="0029403D">
        <w:t>местного бю</w:t>
      </w:r>
      <w:r w:rsidR="00882C08" w:rsidRPr="0029403D">
        <w:t>д</w:t>
      </w:r>
      <w:r w:rsidR="00882C08" w:rsidRPr="0029403D">
        <w:t>жета</w:t>
      </w:r>
      <w:r w:rsidRPr="0029403D">
        <w:t xml:space="preserve"> за </w:t>
      </w:r>
      <w:r w:rsidR="00057FA2">
        <w:t>2015</w:t>
      </w:r>
      <w:r w:rsidRPr="0029403D">
        <w:rPr>
          <w:lang w:val="en-US"/>
        </w:rPr>
        <w:t> </w:t>
      </w:r>
      <w:r w:rsidRPr="0029403D">
        <w:t>г</w:t>
      </w:r>
      <w:r w:rsidR="00882C08" w:rsidRPr="0029403D">
        <w:t>од</w:t>
      </w:r>
      <w:r w:rsidRPr="0029403D">
        <w:t xml:space="preserve"> исполнены в объ</w:t>
      </w:r>
      <w:r w:rsidR="00A46E1E" w:rsidRPr="0029403D">
        <w:t>ё</w:t>
      </w:r>
      <w:r w:rsidRPr="0029403D">
        <w:t xml:space="preserve">ме </w:t>
      </w:r>
      <w:r w:rsidR="00232FCE">
        <w:t>14274,5</w:t>
      </w:r>
      <w:r w:rsidR="004679EC">
        <w:t xml:space="preserve"> </w:t>
      </w:r>
      <w:r w:rsidRPr="0029403D">
        <w:t>тыс.</w:t>
      </w:r>
      <w:r w:rsidR="004679EC">
        <w:t xml:space="preserve"> </w:t>
      </w:r>
      <w:r w:rsidR="00CA485C" w:rsidRPr="0029403D">
        <w:t>руб.</w:t>
      </w:r>
      <w:r w:rsidRPr="0029403D">
        <w:t>, расходы</w:t>
      </w:r>
      <w:r w:rsidR="00C218BA" w:rsidRPr="0029403D">
        <w:t xml:space="preserve"> – </w:t>
      </w:r>
      <w:r w:rsidRPr="0029403D">
        <w:t>в объ</w:t>
      </w:r>
      <w:r w:rsidR="00A46E1E" w:rsidRPr="0029403D">
        <w:t>ё</w:t>
      </w:r>
      <w:r w:rsidRPr="0029403D">
        <w:t xml:space="preserve">ме </w:t>
      </w:r>
      <w:r w:rsidR="00232FCE">
        <w:t>8343,7</w:t>
      </w:r>
      <w:r w:rsidR="00BE2D15" w:rsidRPr="0029403D">
        <w:t xml:space="preserve"> тыс. </w:t>
      </w:r>
      <w:r w:rsidR="00CA485C" w:rsidRPr="0029403D">
        <w:t>руб.</w:t>
      </w:r>
      <w:r w:rsidRPr="0029403D">
        <w:t xml:space="preserve"> </w:t>
      </w:r>
      <w:r w:rsidR="001566DE" w:rsidRPr="0029403D">
        <w:t xml:space="preserve">Соответственно, </w:t>
      </w:r>
      <w:r w:rsidR="00232FCE">
        <w:t>про</w:t>
      </w:r>
      <w:r w:rsidR="001566DE" w:rsidRPr="0029403D">
        <w:t>фицит</w:t>
      </w:r>
      <w:r w:rsidR="001566DE">
        <w:t xml:space="preserve"> </w:t>
      </w:r>
      <w:r w:rsidR="001566DE" w:rsidRPr="0029403D">
        <w:t xml:space="preserve">местного бюджета составил </w:t>
      </w:r>
      <w:r w:rsidR="00232FCE">
        <w:t>5930,8</w:t>
      </w:r>
      <w:r w:rsidR="001566DE" w:rsidRPr="0029403D">
        <w:t xml:space="preserve"> тыс. руб., в </w:t>
      </w:r>
      <w:r w:rsidR="00057FA2">
        <w:t>2014</w:t>
      </w:r>
      <w:r w:rsidR="001566DE" w:rsidRPr="0029403D">
        <w:t xml:space="preserve"> году мес</w:t>
      </w:r>
      <w:r w:rsidR="001566DE" w:rsidRPr="0029403D">
        <w:t>т</w:t>
      </w:r>
      <w:r w:rsidR="001566DE" w:rsidRPr="0029403D">
        <w:t xml:space="preserve">ный бюджет был исполнен с </w:t>
      </w:r>
      <w:r w:rsidR="00202E4A">
        <w:t>де</w:t>
      </w:r>
      <w:r w:rsidR="001566DE" w:rsidRPr="0029403D">
        <w:t xml:space="preserve">фицитом </w:t>
      </w:r>
      <w:r w:rsidR="00232FCE">
        <w:t>215,9</w:t>
      </w:r>
      <w:r w:rsidR="00232FCE" w:rsidRPr="0029403D">
        <w:t xml:space="preserve"> </w:t>
      </w:r>
      <w:r w:rsidR="001566DE" w:rsidRPr="0029403D">
        <w:t>тыс. руб.</w:t>
      </w:r>
    </w:p>
    <w:p w:rsidR="00696525" w:rsidRPr="00CF0981" w:rsidRDefault="004F67F0" w:rsidP="008E497E">
      <w:pPr>
        <w:spacing w:before="40"/>
        <w:ind w:firstLine="567"/>
        <w:jc w:val="both"/>
      </w:pPr>
      <w:r w:rsidRPr="00CF0981">
        <w:t xml:space="preserve">Следует отметить, что при планировании местного бюджета на </w:t>
      </w:r>
      <w:r w:rsidR="00057FA2">
        <w:t>2015</w:t>
      </w:r>
      <w:r w:rsidRPr="00CF0981">
        <w:t xml:space="preserve"> год </w:t>
      </w:r>
      <w:r w:rsidR="00CF0981">
        <w:t>правильно</w:t>
      </w:r>
      <w:r w:rsidRPr="00CF0981">
        <w:t xml:space="preserve"> учтены остатки средств на счетах в органе казначейства, а именно, согласно отчёту формы 0503140 «Баланс по поступлениям и выбытиям бюджетных средств» остаток средств на </w:t>
      </w:r>
      <w:r w:rsidR="00FC5CD7" w:rsidRPr="00CF0981">
        <w:t>остаток средств на 01.01.</w:t>
      </w:r>
      <w:r w:rsidR="00057FA2">
        <w:t>2015</w:t>
      </w:r>
      <w:r w:rsidR="00FC5CD7" w:rsidRPr="00CF0981">
        <w:t xml:space="preserve"> </w:t>
      </w:r>
      <w:r w:rsidR="000A6332" w:rsidRPr="00CF0981">
        <w:t>–</w:t>
      </w:r>
      <w:r w:rsidR="004679EC" w:rsidRPr="00CF0981">
        <w:t xml:space="preserve"> </w:t>
      </w:r>
      <w:r w:rsidR="00232FCE">
        <w:t>52205,96</w:t>
      </w:r>
      <w:r w:rsidR="000A6332" w:rsidRPr="00CF0981">
        <w:t xml:space="preserve"> </w:t>
      </w:r>
      <w:r w:rsidR="00CA485C" w:rsidRPr="00CF0981">
        <w:t>руб.</w:t>
      </w:r>
      <w:r w:rsidR="000A6332" w:rsidRPr="00CF0981">
        <w:t>, фактически в источниках финансирования д</w:t>
      </w:r>
      <w:r w:rsidR="000A6332" w:rsidRPr="00CF0981">
        <w:t>е</w:t>
      </w:r>
      <w:r w:rsidR="000A6332" w:rsidRPr="00CF0981">
        <w:t>фицита</w:t>
      </w:r>
      <w:r w:rsidR="00B746AE" w:rsidRPr="00CF0981">
        <w:t xml:space="preserve"> – </w:t>
      </w:r>
      <w:r w:rsidR="00232FCE">
        <w:t>52205,96</w:t>
      </w:r>
      <w:r w:rsidR="00232FCE" w:rsidRPr="00CF0981">
        <w:t xml:space="preserve"> </w:t>
      </w:r>
      <w:r w:rsidR="00CF0981">
        <w:t>руб.</w:t>
      </w:r>
    </w:p>
    <w:p w:rsidR="00F17157" w:rsidRPr="0029403D" w:rsidRDefault="00665379" w:rsidP="00EA4F3B">
      <w:pPr>
        <w:pStyle w:val="1"/>
      </w:pPr>
      <w:r w:rsidRPr="0029403D">
        <w:t>4</w:t>
      </w:r>
      <w:r w:rsidR="00923DA5" w:rsidRPr="0029403D">
        <w:t>. </w:t>
      </w:r>
      <w:r w:rsidR="00F17157" w:rsidRPr="0029403D">
        <w:t xml:space="preserve">Анализ </w:t>
      </w:r>
      <w:r w:rsidR="00287802" w:rsidRPr="0029403D">
        <w:t>исполнения</w:t>
      </w:r>
      <w:r w:rsidR="00F17157" w:rsidRPr="0029403D">
        <w:t xml:space="preserve"> доходов </w:t>
      </w:r>
      <w:r w:rsidR="00882C08" w:rsidRPr="0029403D">
        <w:t>местного бюджета</w:t>
      </w:r>
    </w:p>
    <w:p w:rsidR="00816F79" w:rsidRDefault="00F1605F" w:rsidP="00254658">
      <w:pPr>
        <w:ind w:firstLine="567"/>
        <w:jc w:val="both"/>
      </w:pPr>
      <w:r w:rsidRPr="004E49FA">
        <w:t xml:space="preserve">Местный бюджет на </w:t>
      </w:r>
      <w:r w:rsidR="00057FA2">
        <w:t>2015</w:t>
      </w:r>
      <w:r w:rsidRPr="004E49FA">
        <w:t xml:space="preserve"> год по доходам в </w:t>
      </w:r>
      <w:r w:rsidR="00200EDB" w:rsidRPr="004E49FA">
        <w:t>объёме</w:t>
      </w:r>
      <w:r w:rsidR="003625F3">
        <w:t xml:space="preserve"> </w:t>
      </w:r>
      <w:r w:rsidR="00232FCE">
        <w:t>6881,2</w:t>
      </w:r>
      <w:r w:rsidR="00200EDB" w:rsidRPr="004E49FA">
        <w:t xml:space="preserve"> тыс. </w:t>
      </w:r>
      <w:r w:rsidR="00CA485C" w:rsidRPr="004E49FA">
        <w:t>руб.</w:t>
      </w:r>
      <w:r w:rsidRPr="004E49FA">
        <w:t xml:space="preserve"> утверждён</w:t>
      </w:r>
      <w:r w:rsidR="00200EDB" w:rsidRPr="004E49FA">
        <w:t xml:space="preserve"> решен</w:t>
      </w:r>
      <w:r w:rsidR="00200EDB" w:rsidRPr="004E49FA">
        <w:t>и</w:t>
      </w:r>
      <w:r w:rsidR="00570D54">
        <w:t xml:space="preserve">ем </w:t>
      </w:r>
      <w:r w:rsidR="00232FCE">
        <w:t>35</w:t>
      </w:r>
      <w:r w:rsidR="00200EDB" w:rsidRPr="004E49FA">
        <w:t xml:space="preserve"> сессии 4 созыва Совета депутатов </w:t>
      </w:r>
      <w:r w:rsidR="00E462E3">
        <w:t>Карган</w:t>
      </w:r>
      <w:r w:rsidR="00200EDB" w:rsidRPr="004E49FA">
        <w:t>ского сельсовета Каргатского района Новос</w:t>
      </w:r>
      <w:r w:rsidR="00200EDB" w:rsidRPr="004E49FA">
        <w:t>и</w:t>
      </w:r>
      <w:r w:rsidR="00200EDB" w:rsidRPr="004E49FA">
        <w:t>бирской области</w:t>
      </w:r>
      <w:r w:rsidR="00E676E9" w:rsidRPr="004E49FA">
        <w:t xml:space="preserve"> от </w:t>
      </w:r>
      <w:r w:rsidR="00232FCE">
        <w:t>23</w:t>
      </w:r>
      <w:r w:rsidR="00E676E9" w:rsidRPr="004E49FA">
        <w:t>.1</w:t>
      </w:r>
      <w:r w:rsidR="0002466F" w:rsidRPr="004E49FA">
        <w:t>2</w:t>
      </w:r>
      <w:r w:rsidR="00E676E9" w:rsidRPr="004E49FA">
        <w:t>.</w:t>
      </w:r>
      <w:r w:rsidR="00057FA2">
        <w:t>2014</w:t>
      </w:r>
      <w:r w:rsidR="00E676E9" w:rsidRPr="004E49FA">
        <w:t xml:space="preserve"> №</w:t>
      </w:r>
      <w:r w:rsidR="00071EC5">
        <w:t xml:space="preserve"> </w:t>
      </w:r>
      <w:r w:rsidR="00232FCE">
        <w:t>165</w:t>
      </w:r>
      <w:r w:rsidR="00E676E9" w:rsidRPr="00816F79">
        <w:t>.</w:t>
      </w:r>
    </w:p>
    <w:p w:rsidR="004D35A4" w:rsidRDefault="00442D50" w:rsidP="008E497E">
      <w:pPr>
        <w:spacing w:before="40"/>
        <w:ind w:firstLine="567"/>
        <w:jc w:val="both"/>
      </w:pPr>
      <w:r w:rsidRPr="00816F79">
        <w:t>Решени</w:t>
      </w:r>
      <w:r>
        <w:t xml:space="preserve">ями от </w:t>
      </w:r>
      <w:r w:rsidR="00232FCE">
        <w:t>16</w:t>
      </w:r>
      <w:r>
        <w:t>.</w:t>
      </w:r>
      <w:r w:rsidR="00A11F4F">
        <w:t>0</w:t>
      </w:r>
      <w:r w:rsidR="00202E4A">
        <w:t>3</w:t>
      </w:r>
      <w:r>
        <w:t>.</w:t>
      </w:r>
      <w:r w:rsidR="00057FA2">
        <w:t>2015</w:t>
      </w:r>
      <w:r>
        <w:t xml:space="preserve"> № </w:t>
      </w:r>
      <w:r w:rsidR="00232FCE">
        <w:t>179</w:t>
      </w:r>
      <w:r>
        <w:t xml:space="preserve">, от </w:t>
      </w:r>
      <w:r w:rsidR="00232FCE">
        <w:t>27</w:t>
      </w:r>
      <w:r>
        <w:t>.</w:t>
      </w:r>
      <w:r w:rsidR="00A11F4F">
        <w:t>0</w:t>
      </w:r>
      <w:r w:rsidR="00202E4A">
        <w:t>5</w:t>
      </w:r>
      <w:r>
        <w:t>.</w:t>
      </w:r>
      <w:r w:rsidR="00057FA2">
        <w:t>2015</w:t>
      </w:r>
      <w:r>
        <w:t xml:space="preserve"> № </w:t>
      </w:r>
      <w:r w:rsidR="00232FCE">
        <w:t>185</w:t>
      </w:r>
      <w:r>
        <w:t xml:space="preserve">, от </w:t>
      </w:r>
      <w:r w:rsidR="00232FCE">
        <w:t>19</w:t>
      </w:r>
      <w:r>
        <w:t>.</w:t>
      </w:r>
      <w:r w:rsidR="00A11F4F">
        <w:t>0</w:t>
      </w:r>
      <w:r w:rsidR="00570D54">
        <w:t>6</w:t>
      </w:r>
      <w:r>
        <w:t>.</w:t>
      </w:r>
      <w:r w:rsidR="00057FA2">
        <w:t>2015</w:t>
      </w:r>
      <w:r>
        <w:t xml:space="preserve"> № </w:t>
      </w:r>
      <w:r w:rsidR="00232FCE">
        <w:t>193</w:t>
      </w:r>
      <w:r>
        <w:t xml:space="preserve">, от </w:t>
      </w:r>
      <w:r w:rsidR="00232FCE">
        <w:t>28</w:t>
      </w:r>
      <w:r>
        <w:t>.</w:t>
      </w:r>
      <w:r w:rsidR="00570D54">
        <w:t>0</w:t>
      </w:r>
      <w:r w:rsidR="00232FCE">
        <w:t>8</w:t>
      </w:r>
      <w:r>
        <w:t>.</w:t>
      </w:r>
      <w:r w:rsidR="00057FA2">
        <w:t>2015</w:t>
      </w:r>
      <w:r>
        <w:t xml:space="preserve"> № </w:t>
      </w:r>
      <w:r w:rsidR="00232FCE">
        <w:t>196</w:t>
      </w:r>
      <w:r>
        <w:t xml:space="preserve">, </w:t>
      </w:r>
      <w:r w:rsidR="00A11F4F">
        <w:t xml:space="preserve">от </w:t>
      </w:r>
      <w:r w:rsidR="00232FCE">
        <w:t>24</w:t>
      </w:r>
      <w:r>
        <w:t>.1</w:t>
      </w:r>
      <w:r w:rsidR="00570D54">
        <w:t>1</w:t>
      </w:r>
      <w:r>
        <w:t>.</w:t>
      </w:r>
      <w:r w:rsidR="00057FA2">
        <w:t>2015</w:t>
      </w:r>
      <w:r>
        <w:t xml:space="preserve"> № </w:t>
      </w:r>
      <w:r w:rsidR="00232FCE">
        <w:t>9-а</w:t>
      </w:r>
      <w:r w:rsidR="00570D54">
        <w:t xml:space="preserve">, от </w:t>
      </w:r>
      <w:r w:rsidR="00232FCE">
        <w:t>25</w:t>
      </w:r>
      <w:r w:rsidR="00570D54">
        <w:t>.12.</w:t>
      </w:r>
      <w:r w:rsidR="00057FA2">
        <w:t>2015</w:t>
      </w:r>
      <w:r w:rsidR="00570D54">
        <w:t xml:space="preserve"> № </w:t>
      </w:r>
      <w:r w:rsidR="00232FCE">
        <w:t>12</w:t>
      </w:r>
      <w:r>
        <w:t xml:space="preserve"> </w:t>
      </w:r>
      <w:r w:rsidR="001A2085" w:rsidRPr="00816F79">
        <w:t>были в</w:t>
      </w:r>
      <w:r w:rsidR="003D2EF7" w:rsidRPr="00816F79">
        <w:t>несен</w:t>
      </w:r>
      <w:r w:rsidR="001A2085" w:rsidRPr="00816F79">
        <w:t>ы</w:t>
      </w:r>
      <w:r w:rsidR="003D2EF7" w:rsidRPr="00816F79">
        <w:t xml:space="preserve"> изменени</w:t>
      </w:r>
      <w:r w:rsidR="001A2085" w:rsidRPr="00816F79">
        <w:t>я</w:t>
      </w:r>
      <w:r w:rsidR="003D2EF7" w:rsidRPr="00816F79">
        <w:t xml:space="preserve"> в п</w:t>
      </w:r>
      <w:r w:rsidR="003D4373" w:rsidRPr="00816F79">
        <w:t>лан</w:t>
      </w:r>
      <w:r w:rsidR="003D4373" w:rsidRPr="00816F79">
        <w:t>о</w:t>
      </w:r>
      <w:r w:rsidR="003D4373" w:rsidRPr="00816F79">
        <w:t>вые назначения по доходам</w:t>
      </w:r>
      <w:r w:rsidR="001A2085" w:rsidRPr="00816F79">
        <w:t xml:space="preserve">. </w:t>
      </w:r>
      <w:r w:rsidR="00135AAE" w:rsidRPr="00816F79">
        <w:t xml:space="preserve">В </w:t>
      </w:r>
      <w:r w:rsidR="00552AD8">
        <w:t xml:space="preserve">последней редакции </w:t>
      </w:r>
      <w:r w:rsidR="00A3162D">
        <w:t xml:space="preserve">уточнённый </w:t>
      </w:r>
      <w:r w:rsidR="00A80682">
        <w:t>общий объём</w:t>
      </w:r>
      <w:r w:rsidR="00135AAE" w:rsidRPr="00816F79">
        <w:t xml:space="preserve"> доход</w:t>
      </w:r>
      <w:r w:rsidR="00A80682">
        <w:t>ов</w:t>
      </w:r>
      <w:r w:rsidR="00135AAE" w:rsidRPr="00816F79">
        <w:t xml:space="preserve"> с</w:t>
      </w:r>
      <w:r w:rsidR="00135AAE" w:rsidRPr="00816F79">
        <w:t>о</w:t>
      </w:r>
      <w:r w:rsidR="00135AAE" w:rsidRPr="00816F79">
        <w:t xml:space="preserve">ставляет </w:t>
      </w:r>
      <w:r w:rsidR="00232FCE">
        <w:t>14256,3</w:t>
      </w:r>
      <w:r w:rsidR="00135AAE" w:rsidRPr="00816F79">
        <w:t xml:space="preserve"> тыс. </w:t>
      </w:r>
      <w:r w:rsidR="00CA485C" w:rsidRPr="00816F79">
        <w:t>руб.</w:t>
      </w:r>
    </w:p>
    <w:p w:rsidR="00570D54" w:rsidRDefault="00AA37C4" w:rsidP="00232FCE">
      <w:pPr>
        <w:spacing w:before="40"/>
        <w:ind w:firstLine="567"/>
        <w:jc w:val="both"/>
      </w:pPr>
      <w:r w:rsidRPr="0029403D">
        <w:t xml:space="preserve">В отчёте об исполнении местного бюджета за </w:t>
      </w:r>
      <w:r>
        <w:t>2015</w:t>
      </w:r>
      <w:r w:rsidRPr="0029403D">
        <w:t xml:space="preserve"> год плановый показатель по дох</w:t>
      </w:r>
      <w:r w:rsidRPr="0029403D">
        <w:t>о</w:t>
      </w:r>
      <w:r w:rsidRPr="0029403D">
        <w:t xml:space="preserve">дам составляет </w:t>
      </w:r>
      <w:r w:rsidR="00232FCE">
        <w:t>14256,3</w:t>
      </w:r>
      <w:r w:rsidR="00232FCE" w:rsidRPr="00816F79">
        <w:t xml:space="preserve"> </w:t>
      </w:r>
      <w:r w:rsidR="00570D54">
        <w:t>тыс. руб.</w:t>
      </w:r>
      <w:r w:rsidR="00232FCE">
        <w:t xml:space="preserve"> </w:t>
      </w:r>
      <w:r w:rsidR="00570D54" w:rsidRPr="00232FCE">
        <w:t xml:space="preserve">Тем самым </w:t>
      </w:r>
      <w:r w:rsidR="00232FCE">
        <w:t>соблюдается статья 32 БК РФ.</w:t>
      </w:r>
    </w:p>
    <w:p w:rsidR="00AA37C4" w:rsidRPr="009812F5" w:rsidRDefault="00AA37C4" w:rsidP="00AA37C4">
      <w:pPr>
        <w:spacing w:before="60"/>
        <w:ind w:firstLine="567"/>
        <w:jc w:val="both"/>
      </w:pPr>
      <w:r>
        <w:rPr>
          <w:b/>
          <w:i/>
        </w:rPr>
        <w:t>В</w:t>
      </w:r>
      <w:r w:rsidRPr="009B52A6">
        <w:rPr>
          <w:b/>
          <w:i/>
        </w:rPr>
        <w:t xml:space="preserve"> нарушение пункта 1 статьи 184.1 БК РФ</w:t>
      </w:r>
      <w:r>
        <w:t xml:space="preserve"> в решениях о внесении изменений в р</w:t>
      </w:r>
      <w:r>
        <w:t>е</w:t>
      </w:r>
      <w:r>
        <w:t xml:space="preserve">шение о </w:t>
      </w:r>
      <w:r w:rsidRPr="009812F5">
        <w:t>бюджете не содержится информация об общем объёме доходов бюджета:</w:t>
      </w:r>
    </w:p>
    <w:p w:rsidR="00AA37C4" w:rsidRDefault="00AA37C4" w:rsidP="00AA37C4">
      <w:pPr>
        <w:autoSpaceDE w:val="0"/>
        <w:autoSpaceDN w:val="0"/>
        <w:adjustRightInd w:val="0"/>
        <w:spacing w:before="40"/>
        <w:ind w:firstLine="567"/>
        <w:jc w:val="both"/>
        <w:rPr>
          <w:i/>
          <w:sz w:val="20"/>
          <w:szCs w:val="20"/>
        </w:rPr>
      </w:pPr>
      <w:r w:rsidRPr="009812F5">
        <w:rPr>
          <w:i/>
          <w:sz w:val="20"/>
          <w:szCs w:val="20"/>
        </w:rPr>
        <w:t xml:space="preserve"> «В законе (решении) о бюджете должны содержаться основные характеристики бюджета, к кот</w:t>
      </w:r>
      <w:r w:rsidRPr="009812F5">
        <w:rPr>
          <w:i/>
          <w:sz w:val="20"/>
          <w:szCs w:val="20"/>
        </w:rPr>
        <w:t>о</w:t>
      </w:r>
      <w:r w:rsidRPr="009812F5">
        <w:rPr>
          <w:i/>
          <w:sz w:val="20"/>
          <w:szCs w:val="20"/>
        </w:rPr>
        <w:t>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B80AA4" w:rsidRPr="0029403D" w:rsidRDefault="00B80AA4" w:rsidP="00CC3F8A">
      <w:pPr>
        <w:spacing w:before="60"/>
        <w:ind w:firstLine="567"/>
        <w:jc w:val="both"/>
      </w:pPr>
      <w:r w:rsidRPr="0029403D">
        <w:t xml:space="preserve">Исполнение местного бюджета по доходам за </w:t>
      </w:r>
      <w:r w:rsidR="00057FA2">
        <w:t>2015</w:t>
      </w:r>
      <w:r w:rsidRPr="0029403D">
        <w:t xml:space="preserve"> год составило </w:t>
      </w:r>
      <w:r w:rsidR="00AA37C4">
        <w:t>14274,5</w:t>
      </w:r>
      <w:r w:rsidRPr="0029403D">
        <w:t xml:space="preserve"> тыс. </w:t>
      </w:r>
      <w:r w:rsidR="00CA485C" w:rsidRPr="0029403D">
        <w:t>руб.</w:t>
      </w:r>
      <w:r w:rsidRPr="0029403D">
        <w:t xml:space="preserve"> или </w:t>
      </w:r>
      <w:r w:rsidR="00AA37C4">
        <w:t>100,1</w:t>
      </w:r>
      <w:r w:rsidRPr="0029403D">
        <w:t>% к плану</w:t>
      </w:r>
      <w:r w:rsidR="00AA37C4">
        <w:t>.</w:t>
      </w:r>
    </w:p>
    <w:p w:rsidR="00006951" w:rsidRPr="0029403D" w:rsidRDefault="00006951" w:rsidP="00CC3F8A">
      <w:pPr>
        <w:spacing w:before="60"/>
        <w:ind w:firstLine="567"/>
        <w:jc w:val="both"/>
      </w:pPr>
      <w:r w:rsidRPr="0029403D">
        <w:t xml:space="preserve">Из общей суммы доходов налоговые и неналоговые поступления составили </w:t>
      </w:r>
      <w:r w:rsidR="00AA37C4">
        <w:t>1358,6</w:t>
      </w:r>
      <w:r w:rsidRPr="0029403D">
        <w:t xml:space="preserve"> тыс. </w:t>
      </w:r>
      <w:r w:rsidR="00CA485C" w:rsidRPr="0029403D">
        <w:t>руб.</w:t>
      </w:r>
      <w:r w:rsidRPr="0029403D">
        <w:t xml:space="preserve"> или </w:t>
      </w:r>
      <w:r w:rsidR="00AA37C4">
        <w:t>9,5</w:t>
      </w:r>
      <w:r w:rsidRPr="0029403D">
        <w:t xml:space="preserve">%, безвозмездные поступления – </w:t>
      </w:r>
      <w:r w:rsidR="00AA37C4">
        <w:t>12915,9</w:t>
      </w:r>
      <w:r w:rsidRPr="0029403D">
        <w:t> тыс.</w:t>
      </w:r>
      <w:r w:rsidR="00733AB7">
        <w:t xml:space="preserve"> </w:t>
      </w:r>
      <w:r w:rsidR="00CA485C" w:rsidRPr="0029403D">
        <w:t>руб.</w:t>
      </w:r>
      <w:r w:rsidRPr="0029403D">
        <w:t xml:space="preserve"> или </w:t>
      </w:r>
      <w:r w:rsidR="00AA37C4">
        <w:t>90,5</w:t>
      </w:r>
      <w:r w:rsidRPr="0029403D">
        <w:t>%.</w:t>
      </w:r>
    </w:p>
    <w:p w:rsidR="001328F1" w:rsidRPr="0029403D" w:rsidRDefault="001328F1" w:rsidP="00CC3F8A">
      <w:pPr>
        <w:spacing w:before="60"/>
        <w:ind w:firstLine="567"/>
        <w:jc w:val="both"/>
      </w:pPr>
      <w:r w:rsidRPr="0029403D">
        <w:t xml:space="preserve">По сравнению с предыдущим годом поступления в </w:t>
      </w:r>
      <w:r w:rsidR="003D272D" w:rsidRPr="0029403D">
        <w:t>местный</w:t>
      </w:r>
      <w:r w:rsidRPr="0029403D">
        <w:t xml:space="preserve"> бюджет в целом </w:t>
      </w:r>
      <w:r w:rsidR="00570D54">
        <w:t>увелич</w:t>
      </w:r>
      <w:r w:rsidR="00570D54">
        <w:t>и</w:t>
      </w:r>
      <w:r w:rsidR="00570D54">
        <w:t>лись</w:t>
      </w:r>
      <w:r w:rsidR="00570D54" w:rsidRPr="0029403D">
        <w:t xml:space="preserve"> </w:t>
      </w:r>
      <w:r w:rsidRPr="0029403D">
        <w:t xml:space="preserve">на </w:t>
      </w:r>
      <w:r w:rsidR="00AA37C4">
        <w:t>3788,1</w:t>
      </w:r>
      <w:r w:rsidR="00971F5F">
        <w:t xml:space="preserve"> </w:t>
      </w:r>
      <w:r w:rsidRPr="0029403D">
        <w:t>тыс.</w:t>
      </w:r>
      <w:r w:rsidR="00971F5F">
        <w:t xml:space="preserve"> </w:t>
      </w:r>
      <w:r w:rsidR="00CA485C" w:rsidRPr="0029403D">
        <w:t>руб.</w:t>
      </w:r>
      <w:r w:rsidRPr="0029403D">
        <w:t xml:space="preserve"> или</w:t>
      </w:r>
      <w:r w:rsidR="00570D54">
        <w:t xml:space="preserve"> на</w:t>
      </w:r>
      <w:r w:rsidRPr="0029403D">
        <w:t xml:space="preserve"> </w:t>
      </w:r>
      <w:r w:rsidR="00AA37C4">
        <w:t>36,1</w:t>
      </w:r>
      <w:r w:rsidRPr="0029403D">
        <w:t xml:space="preserve">%, в том числе </w:t>
      </w:r>
      <w:r w:rsidR="001946F6" w:rsidRPr="0029403D">
        <w:t xml:space="preserve">налоговые и неналоговые поступления </w:t>
      </w:r>
      <w:r w:rsidR="00AA37C4">
        <w:t>увеличились</w:t>
      </w:r>
      <w:r w:rsidR="00AA37C4" w:rsidRPr="0029403D">
        <w:t xml:space="preserve"> </w:t>
      </w:r>
      <w:r w:rsidR="002308B9" w:rsidRPr="0029403D">
        <w:t>на</w:t>
      </w:r>
      <w:r w:rsidR="00971F5F">
        <w:t xml:space="preserve"> </w:t>
      </w:r>
      <w:r w:rsidR="00AA37C4">
        <w:t>896,7</w:t>
      </w:r>
      <w:r w:rsidR="001946F6" w:rsidRPr="0029403D">
        <w:t xml:space="preserve"> тыс. </w:t>
      </w:r>
      <w:r w:rsidR="00CA485C" w:rsidRPr="0029403D">
        <w:t>руб.</w:t>
      </w:r>
      <w:r w:rsidR="001946F6" w:rsidRPr="0029403D">
        <w:t xml:space="preserve"> или </w:t>
      </w:r>
      <w:r w:rsidR="00AA37C4">
        <w:t>на 194,1</w:t>
      </w:r>
      <w:r w:rsidR="001946F6" w:rsidRPr="0029403D">
        <w:t>%, безвозмездные</w:t>
      </w:r>
      <w:r w:rsidR="002308B9" w:rsidRPr="0029403D">
        <w:t xml:space="preserve"> поступления</w:t>
      </w:r>
      <w:r w:rsidR="00971F5F">
        <w:t xml:space="preserve"> </w:t>
      </w:r>
      <w:r w:rsidR="00570D54">
        <w:t>увеличились</w:t>
      </w:r>
      <w:r w:rsidR="00570D54" w:rsidRPr="0029403D">
        <w:t xml:space="preserve"> </w:t>
      </w:r>
      <w:r w:rsidR="002308B9" w:rsidRPr="0029403D">
        <w:t xml:space="preserve">на </w:t>
      </w:r>
      <w:r w:rsidR="00AA37C4">
        <w:t>2891,4</w:t>
      </w:r>
      <w:r w:rsidR="002308B9" w:rsidRPr="0029403D">
        <w:t xml:space="preserve"> тыс. </w:t>
      </w:r>
      <w:r w:rsidR="00CA485C" w:rsidRPr="0029403D">
        <w:t>руб.</w:t>
      </w:r>
      <w:r w:rsidR="002308B9" w:rsidRPr="0029403D">
        <w:t xml:space="preserve"> или </w:t>
      </w:r>
      <w:proofErr w:type="gramStart"/>
      <w:r w:rsidR="00AA37C4">
        <w:t>на</w:t>
      </w:r>
      <w:proofErr w:type="gramEnd"/>
      <w:r w:rsidR="00AA37C4">
        <w:t xml:space="preserve"> 28,8</w:t>
      </w:r>
      <w:r w:rsidR="002308B9" w:rsidRPr="0029403D">
        <w:t>%</w:t>
      </w:r>
      <w:r w:rsidRPr="0029403D">
        <w:t>.</w:t>
      </w:r>
    </w:p>
    <w:p w:rsidR="005E15EC" w:rsidRPr="0029403D" w:rsidRDefault="005E15EC" w:rsidP="005E15EC">
      <w:pPr>
        <w:spacing w:before="120"/>
        <w:ind w:firstLine="567"/>
        <w:jc w:val="both"/>
      </w:pPr>
      <w:r w:rsidRPr="00E56C9E">
        <w:rPr>
          <w:b/>
          <w:bCs/>
          <w:iCs/>
        </w:rPr>
        <w:t>Налоговые доходы</w:t>
      </w:r>
      <w:r w:rsidRPr="00E56C9E">
        <w:rPr>
          <w:bCs/>
          <w:iCs/>
        </w:rPr>
        <w:t xml:space="preserve"> местного бюджета </w:t>
      </w:r>
      <w:r w:rsidR="008608CA" w:rsidRPr="00E56C9E">
        <w:rPr>
          <w:bCs/>
          <w:iCs/>
        </w:rPr>
        <w:t>з</w:t>
      </w:r>
      <w:r w:rsidRPr="00E56C9E">
        <w:rPr>
          <w:bCs/>
          <w:iCs/>
        </w:rPr>
        <w:t xml:space="preserve">а </w:t>
      </w:r>
      <w:r w:rsidR="00057FA2">
        <w:rPr>
          <w:bCs/>
          <w:iCs/>
        </w:rPr>
        <w:t>2015</w:t>
      </w:r>
      <w:r w:rsidRPr="00E56C9E">
        <w:rPr>
          <w:bCs/>
          <w:iCs/>
        </w:rPr>
        <w:t xml:space="preserve"> год </w:t>
      </w:r>
      <w:r w:rsidR="008608CA" w:rsidRPr="00E56C9E">
        <w:rPr>
          <w:bCs/>
          <w:iCs/>
        </w:rPr>
        <w:t>исполнены</w:t>
      </w:r>
      <w:r w:rsidRPr="00E56C9E">
        <w:rPr>
          <w:bCs/>
          <w:iCs/>
        </w:rPr>
        <w:t xml:space="preserve"> в объеме </w:t>
      </w:r>
      <w:r w:rsidR="00AA37C4">
        <w:rPr>
          <w:bCs/>
          <w:iCs/>
        </w:rPr>
        <w:t>1285,7</w:t>
      </w:r>
      <w:r w:rsidRPr="00E56C9E">
        <w:rPr>
          <w:bCs/>
          <w:iCs/>
        </w:rPr>
        <w:t xml:space="preserve"> тыс. руб. </w:t>
      </w:r>
      <w:r w:rsidR="00356683" w:rsidRPr="00E56C9E">
        <w:rPr>
          <w:bCs/>
          <w:iCs/>
        </w:rPr>
        <w:t xml:space="preserve">или </w:t>
      </w:r>
      <w:r w:rsidR="00AA37C4">
        <w:rPr>
          <w:bCs/>
          <w:iCs/>
        </w:rPr>
        <w:t>106,8</w:t>
      </w:r>
      <w:r w:rsidR="00CB7F16" w:rsidRPr="00E56C9E">
        <w:rPr>
          <w:bCs/>
          <w:iCs/>
        </w:rPr>
        <w:t>% от плановых назначений</w:t>
      </w:r>
      <w:r w:rsidR="008F70AC">
        <w:t>.</w:t>
      </w:r>
    </w:p>
    <w:p w:rsidR="005E15EC" w:rsidRPr="0029403D" w:rsidRDefault="005E15EC" w:rsidP="00CC3F8A">
      <w:pPr>
        <w:spacing w:before="60"/>
        <w:ind w:firstLine="567"/>
        <w:jc w:val="both"/>
      </w:pPr>
      <w:r w:rsidRPr="0029403D">
        <w:t>Подробный анализ поступления налоговых</w:t>
      </w:r>
      <w:r w:rsidR="00535CEF">
        <w:t xml:space="preserve"> доходов представлен в таблице </w:t>
      </w:r>
      <w:r w:rsidR="00A20F54">
        <w:t>1</w:t>
      </w:r>
      <w:r w:rsidRPr="0029403D">
        <w:t>.</w:t>
      </w:r>
    </w:p>
    <w:p w:rsidR="005E15EC" w:rsidRPr="003C11A6" w:rsidRDefault="005E15EC" w:rsidP="00535CEF">
      <w:pPr>
        <w:spacing w:before="120" w:after="120"/>
        <w:jc w:val="center"/>
        <w:rPr>
          <w:sz w:val="22"/>
          <w:szCs w:val="22"/>
        </w:rPr>
      </w:pPr>
      <w:r w:rsidRPr="003C11A6">
        <w:rPr>
          <w:sz w:val="22"/>
          <w:szCs w:val="22"/>
        </w:rPr>
        <w:t xml:space="preserve">Таблица </w:t>
      </w:r>
      <w:r w:rsidR="00A20F54">
        <w:rPr>
          <w:sz w:val="22"/>
          <w:szCs w:val="22"/>
        </w:rPr>
        <w:t>1</w:t>
      </w:r>
      <w:r w:rsidRPr="003C11A6">
        <w:rPr>
          <w:sz w:val="22"/>
          <w:szCs w:val="22"/>
        </w:rPr>
        <w:t xml:space="preserve">. Структура </w:t>
      </w:r>
      <w:r w:rsidR="000A68BE" w:rsidRPr="003C11A6">
        <w:rPr>
          <w:sz w:val="22"/>
          <w:szCs w:val="22"/>
        </w:rPr>
        <w:t xml:space="preserve">и динамика поступления </w:t>
      </w:r>
      <w:r w:rsidRPr="003C11A6">
        <w:rPr>
          <w:sz w:val="22"/>
          <w:szCs w:val="22"/>
        </w:rPr>
        <w:t>налоговых доходов местного бюджета, тыс. руб.</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1"/>
        <w:gridCol w:w="737"/>
        <w:gridCol w:w="737"/>
        <w:gridCol w:w="850"/>
        <w:gridCol w:w="794"/>
        <w:gridCol w:w="794"/>
        <w:gridCol w:w="794"/>
        <w:gridCol w:w="1417"/>
        <w:gridCol w:w="1418"/>
      </w:tblGrid>
      <w:tr w:rsidR="00BB7E0B" w:rsidRPr="0029403D" w:rsidTr="001B36C6">
        <w:trPr>
          <w:trHeight w:val="528"/>
        </w:trPr>
        <w:tc>
          <w:tcPr>
            <w:tcW w:w="2211" w:type="dxa"/>
            <w:vMerge w:val="restart"/>
            <w:vAlign w:val="center"/>
          </w:tcPr>
          <w:p w:rsidR="00BB7E0B" w:rsidRPr="0029403D" w:rsidRDefault="001D6AAD" w:rsidP="00877B5F">
            <w:pPr>
              <w:rPr>
                <w:i/>
                <w:sz w:val="20"/>
                <w:szCs w:val="20"/>
              </w:rPr>
            </w:pPr>
            <w:r w:rsidRPr="0029403D">
              <w:rPr>
                <w:i/>
                <w:sz w:val="20"/>
                <w:szCs w:val="20"/>
              </w:rPr>
              <w:t>Наименования дохода</w:t>
            </w:r>
          </w:p>
        </w:tc>
        <w:tc>
          <w:tcPr>
            <w:tcW w:w="2324" w:type="dxa"/>
            <w:gridSpan w:val="3"/>
            <w:vAlign w:val="center"/>
          </w:tcPr>
          <w:p w:rsidR="00BB7E0B" w:rsidRPr="0029403D" w:rsidRDefault="00BB7E0B" w:rsidP="00BB7E0B">
            <w:pPr>
              <w:jc w:val="center"/>
              <w:rPr>
                <w:i/>
                <w:sz w:val="20"/>
                <w:szCs w:val="20"/>
              </w:rPr>
            </w:pPr>
            <w:r w:rsidRPr="0029403D">
              <w:rPr>
                <w:i/>
                <w:sz w:val="20"/>
                <w:szCs w:val="20"/>
              </w:rPr>
              <w:t>Исполнение бюджета</w:t>
            </w:r>
          </w:p>
        </w:tc>
        <w:tc>
          <w:tcPr>
            <w:tcW w:w="2382" w:type="dxa"/>
            <w:gridSpan w:val="3"/>
          </w:tcPr>
          <w:p w:rsidR="00BB7E0B" w:rsidRPr="0029403D" w:rsidRDefault="00BB7E0B" w:rsidP="001D6AAD">
            <w:pPr>
              <w:spacing w:before="40"/>
              <w:jc w:val="center"/>
              <w:rPr>
                <w:i/>
                <w:sz w:val="20"/>
                <w:szCs w:val="20"/>
              </w:rPr>
            </w:pPr>
            <w:r w:rsidRPr="0029403D">
              <w:rPr>
                <w:i/>
                <w:sz w:val="20"/>
                <w:szCs w:val="20"/>
              </w:rPr>
              <w:t>Доля в общем объёме налоговых доходов</w:t>
            </w:r>
          </w:p>
        </w:tc>
        <w:tc>
          <w:tcPr>
            <w:tcW w:w="2835" w:type="dxa"/>
            <w:gridSpan w:val="2"/>
            <w:vAlign w:val="center"/>
          </w:tcPr>
          <w:p w:rsidR="00BB7E0B" w:rsidRPr="0029403D" w:rsidRDefault="00BB7E0B" w:rsidP="00A20F54">
            <w:pPr>
              <w:jc w:val="center"/>
              <w:rPr>
                <w:i/>
                <w:sz w:val="20"/>
                <w:szCs w:val="20"/>
              </w:rPr>
            </w:pPr>
            <w:r w:rsidRPr="0029403D">
              <w:rPr>
                <w:i/>
                <w:sz w:val="20"/>
                <w:szCs w:val="20"/>
              </w:rPr>
              <w:t>Абсолютный прирост (тыс. руб./</w:t>
            </w:r>
            <w:r w:rsidR="001D6AAD" w:rsidRPr="0029403D">
              <w:rPr>
                <w:i/>
                <w:sz w:val="20"/>
                <w:szCs w:val="20"/>
              </w:rPr>
              <w:t>проценты</w:t>
            </w:r>
            <w:r w:rsidRPr="0029403D">
              <w:rPr>
                <w:i/>
                <w:sz w:val="20"/>
                <w:szCs w:val="20"/>
              </w:rPr>
              <w:t>)</w:t>
            </w:r>
          </w:p>
        </w:tc>
      </w:tr>
      <w:tr w:rsidR="00BB7E0B" w:rsidRPr="0029403D" w:rsidTr="001B36C6">
        <w:trPr>
          <w:trHeight w:val="385"/>
        </w:trPr>
        <w:tc>
          <w:tcPr>
            <w:tcW w:w="2211" w:type="dxa"/>
            <w:vMerge/>
            <w:vAlign w:val="center"/>
          </w:tcPr>
          <w:p w:rsidR="00BB7E0B" w:rsidRPr="0029403D" w:rsidRDefault="00BB7E0B" w:rsidP="00877B5F">
            <w:pPr>
              <w:rPr>
                <w:i/>
                <w:sz w:val="20"/>
                <w:szCs w:val="20"/>
              </w:rPr>
            </w:pPr>
          </w:p>
        </w:tc>
        <w:tc>
          <w:tcPr>
            <w:tcW w:w="737" w:type="dxa"/>
            <w:vAlign w:val="center"/>
          </w:tcPr>
          <w:p w:rsidR="00BB7E0B" w:rsidRPr="0029403D" w:rsidRDefault="00057FA2" w:rsidP="00877B5F">
            <w:pPr>
              <w:jc w:val="center"/>
              <w:rPr>
                <w:i/>
                <w:sz w:val="20"/>
                <w:szCs w:val="20"/>
              </w:rPr>
            </w:pPr>
            <w:r>
              <w:rPr>
                <w:i/>
                <w:sz w:val="20"/>
                <w:szCs w:val="20"/>
              </w:rPr>
              <w:t>2013</w:t>
            </w:r>
          </w:p>
        </w:tc>
        <w:tc>
          <w:tcPr>
            <w:tcW w:w="737" w:type="dxa"/>
            <w:vAlign w:val="center"/>
          </w:tcPr>
          <w:p w:rsidR="00BB7E0B" w:rsidRPr="0029403D" w:rsidRDefault="00057FA2" w:rsidP="00877B5F">
            <w:pPr>
              <w:jc w:val="center"/>
              <w:rPr>
                <w:i/>
                <w:sz w:val="20"/>
                <w:szCs w:val="20"/>
              </w:rPr>
            </w:pPr>
            <w:r>
              <w:rPr>
                <w:i/>
                <w:sz w:val="20"/>
                <w:szCs w:val="20"/>
              </w:rPr>
              <w:t>2014</w:t>
            </w:r>
          </w:p>
        </w:tc>
        <w:tc>
          <w:tcPr>
            <w:tcW w:w="850" w:type="dxa"/>
            <w:vAlign w:val="center"/>
          </w:tcPr>
          <w:p w:rsidR="00BB7E0B" w:rsidRPr="0029403D" w:rsidRDefault="00057FA2" w:rsidP="00877B5F">
            <w:pPr>
              <w:jc w:val="center"/>
              <w:rPr>
                <w:i/>
                <w:sz w:val="20"/>
                <w:szCs w:val="20"/>
              </w:rPr>
            </w:pPr>
            <w:r>
              <w:rPr>
                <w:i/>
                <w:sz w:val="20"/>
                <w:szCs w:val="20"/>
              </w:rPr>
              <w:t>2015</w:t>
            </w:r>
          </w:p>
        </w:tc>
        <w:tc>
          <w:tcPr>
            <w:tcW w:w="794" w:type="dxa"/>
            <w:vAlign w:val="center"/>
          </w:tcPr>
          <w:p w:rsidR="00BB7E0B" w:rsidRPr="0029403D" w:rsidRDefault="00057FA2" w:rsidP="00877B5F">
            <w:pPr>
              <w:jc w:val="center"/>
              <w:rPr>
                <w:i/>
                <w:sz w:val="20"/>
                <w:szCs w:val="20"/>
              </w:rPr>
            </w:pPr>
            <w:r>
              <w:rPr>
                <w:i/>
                <w:sz w:val="20"/>
                <w:szCs w:val="20"/>
              </w:rPr>
              <w:t>2013</w:t>
            </w:r>
          </w:p>
        </w:tc>
        <w:tc>
          <w:tcPr>
            <w:tcW w:w="794" w:type="dxa"/>
            <w:vAlign w:val="center"/>
          </w:tcPr>
          <w:p w:rsidR="00BB7E0B" w:rsidRPr="0029403D" w:rsidRDefault="00057FA2" w:rsidP="00877B5F">
            <w:pPr>
              <w:jc w:val="center"/>
              <w:rPr>
                <w:i/>
                <w:sz w:val="20"/>
                <w:szCs w:val="20"/>
              </w:rPr>
            </w:pPr>
            <w:r>
              <w:rPr>
                <w:i/>
                <w:sz w:val="20"/>
                <w:szCs w:val="20"/>
              </w:rPr>
              <w:t>2014</w:t>
            </w:r>
          </w:p>
        </w:tc>
        <w:tc>
          <w:tcPr>
            <w:tcW w:w="794" w:type="dxa"/>
            <w:vAlign w:val="center"/>
          </w:tcPr>
          <w:p w:rsidR="00BB7E0B" w:rsidRPr="0029403D" w:rsidRDefault="00057FA2" w:rsidP="00877B5F">
            <w:pPr>
              <w:jc w:val="center"/>
              <w:rPr>
                <w:i/>
                <w:sz w:val="20"/>
                <w:szCs w:val="20"/>
              </w:rPr>
            </w:pPr>
            <w:r>
              <w:rPr>
                <w:i/>
                <w:sz w:val="20"/>
                <w:szCs w:val="20"/>
              </w:rPr>
              <w:t>2015</w:t>
            </w:r>
          </w:p>
        </w:tc>
        <w:tc>
          <w:tcPr>
            <w:tcW w:w="1417" w:type="dxa"/>
            <w:vAlign w:val="center"/>
          </w:tcPr>
          <w:p w:rsidR="00BB7E0B" w:rsidRPr="0029403D" w:rsidRDefault="00057FA2" w:rsidP="00877B5F">
            <w:pPr>
              <w:jc w:val="center"/>
              <w:rPr>
                <w:i/>
                <w:sz w:val="20"/>
                <w:szCs w:val="20"/>
              </w:rPr>
            </w:pPr>
            <w:r>
              <w:rPr>
                <w:i/>
                <w:sz w:val="20"/>
                <w:szCs w:val="20"/>
              </w:rPr>
              <w:t>2014</w:t>
            </w:r>
            <w:r w:rsidR="00A20F54">
              <w:rPr>
                <w:i/>
                <w:sz w:val="20"/>
                <w:szCs w:val="20"/>
              </w:rPr>
              <w:t xml:space="preserve"> к </w:t>
            </w:r>
            <w:r>
              <w:rPr>
                <w:i/>
                <w:sz w:val="20"/>
                <w:szCs w:val="20"/>
              </w:rPr>
              <w:t>2013</w:t>
            </w:r>
          </w:p>
        </w:tc>
        <w:tc>
          <w:tcPr>
            <w:tcW w:w="1418" w:type="dxa"/>
            <w:vAlign w:val="center"/>
          </w:tcPr>
          <w:p w:rsidR="00BB7E0B" w:rsidRPr="0029403D" w:rsidRDefault="00057FA2" w:rsidP="00877B5F">
            <w:pPr>
              <w:jc w:val="center"/>
              <w:rPr>
                <w:i/>
                <w:sz w:val="20"/>
                <w:szCs w:val="20"/>
              </w:rPr>
            </w:pPr>
            <w:r>
              <w:rPr>
                <w:i/>
                <w:sz w:val="20"/>
                <w:szCs w:val="20"/>
              </w:rPr>
              <w:t>2015</w:t>
            </w:r>
            <w:r w:rsidR="00A20F54">
              <w:rPr>
                <w:i/>
                <w:sz w:val="20"/>
                <w:szCs w:val="20"/>
              </w:rPr>
              <w:t xml:space="preserve"> к </w:t>
            </w:r>
            <w:r>
              <w:rPr>
                <w:i/>
                <w:sz w:val="20"/>
                <w:szCs w:val="20"/>
              </w:rPr>
              <w:t>2014</w:t>
            </w:r>
          </w:p>
        </w:tc>
      </w:tr>
      <w:tr w:rsidR="00366415" w:rsidRPr="00366415" w:rsidTr="00235F1B">
        <w:trPr>
          <w:trHeight w:val="70"/>
        </w:trPr>
        <w:tc>
          <w:tcPr>
            <w:tcW w:w="2211" w:type="dxa"/>
            <w:vAlign w:val="center"/>
          </w:tcPr>
          <w:p w:rsidR="00366415" w:rsidRPr="00366415" w:rsidRDefault="00366415" w:rsidP="00366415">
            <w:pPr>
              <w:spacing w:before="20" w:after="40"/>
              <w:jc w:val="center"/>
              <w:rPr>
                <w:i/>
                <w:sz w:val="20"/>
                <w:szCs w:val="20"/>
              </w:rPr>
            </w:pPr>
            <w:r>
              <w:rPr>
                <w:i/>
                <w:sz w:val="20"/>
                <w:szCs w:val="20"/>
              </w:rPr>
              <w:t>1</w:t>
            </w:r>
          </w:p>
        </w:tc>
        <w:tc>
          <w:tcPr>
            <w:tcW w:w="737" w:type="dxa"/>
            <w:vAlign w:val="center"/>
          </w:tcPr>
          <w:p w:rsidR="00366415" w:rsidRPr="00366415" w:rsidRDefault="00366415" w:rsidP="00366415">
            <w:pPr>
              <w:spacing w:before="20" w:after="40"/>
              <w:jc w:val="center"/>
              <w:rPr>
                <w:i/>
                <w:sz w:val="20"/>
                <w:szCs w:val="20"/>
              </w:rPr>
            </w:pPr>
            <w:r>
              <w:rPr>
                <w:i/>
                <w:sz w:val="20"/>
                <w:szCs w:val="20"/>
              </w:rPr>
              <w:t>2</w:t>
            </w:r>
          </w:p>
        </w:tc>
        <w:tc>
          <w:tcPr>
            <w:tcW w:w="737" w:type="dxa"/>
            <w:vAlign w:val="center"/>
          </w:tcPr>
          <w:p w:rsidR="00366415" w:rsidRPr="00366415" w:rsidRDefault="00366415" w:rsidP="00366415">
            <w:pPr>
              <w:spacing w:before="20" w:after="40"/>
              <w:jc w:val="center"/>
              <w:rPr>
                <w:i/>
                <w:sz w:val="20"/>
                <w:szCs w:val="20"/>
              </w:rPr>
            </w:pPr>
            <w:r>
              <w:rPr>
                <w:i/>
                <w:sz w:val="20"/>
                <w:szCs w:val="20"/>
              </w:rPr>
              <w:t>3</w:t>
            </w:r>
          </w:p>
        </w:tc>
        <w:tc>
          <w:tcPr>
            <w:tcW w:w="850" w:type="dxa"/>
            <w:vAlign w:val="center"/>
          </w:tcPr>
          <w:p w:rsidR="00366415" w:rsidRPr="00366415" w:rsidRDefault="00366415" w:rsidP="00366415">
            <w:pPr>
              <w:spacing w:before="20" w:after="40"/>
              <w:jc w:val="center"/>
              <w:rPr>
                <w:i/>
                <w:sz w:val="20"/>
                <w:szCs w:val="20"/>
              </w:rPr>
            </w:pPr>
            <w:r>
              <w:rPr>
                <w:i/>
                <w:sz w:val="20"/>
                <w:szCs w:val="20"/>
              </w:rPr>
              <w:t>4</w:t>
            </w:r>
          </w:p>
        </w:tc>
        <w:tc>
          <w:tcPr>
            <w:tcW w:w="794" w:type="dxa"/>
            <w:vAlign w:val="center"/>
          </w:tcPr>
          <w:p w:rsidR="00366415" w:rsidRPr="00366415" w:rsidRDefault="00366415" w:rsidP="00366415">
            <w:pPr>
              <w:spacing w:before="20" w:after="40"/>
              <w:jc w:val="center"/>
              <w:rPr>
                <w:i/>
                <w:sz w:val="20"/>
                <w:szCs w:val="20"/>
              </w:rPr>
            </w:pPr>
            <w:r>
              <w:rPr>
                <w:i/>
                <w:sz w:val="20"/>
                <w:szCs w:val="20"/>
              </w:rPr>
              <w:t>5</w:t>
            </w:r>
          </w:p>
        </w:tc>
        <w:tc>
          <w:tcPr>
            <w:tcW w:w="794" w:type="dxa"/>
            <w:vAlign w:val="center"/>
          </w:tcPr>
          <w:p w:rsidR="00366415" w:rsidRPr="00366415" w:rsidRDefault="00366415" w:rsidP="00366415">
            <w:pPr>
              <w:spacing w:before="20" w:after="40"/>
              <w:jc w:val="center"/>
              <w:rPr>
                <w:i/>
                <w:sz w:val="20"/>
                <w:szCs w:val="20"/>
              </w:rPr>
            </w:pPr>
            <w:r>
              <w:rPr>
                <w:i/>
                <w:sz w:val="20"/>
                <w:szCs w:val="20"/>
              </w:rPr>
              <w:t>6</w:t>
            </w:r>
          </w:p>
        </w:tc>
        <w:tc>
          <w:tcPr>
            <w:tcW w:w="794" w:type="dxa"/>
            <w:vAlign w:val="center"/>
          </w:tcPr>
          <w:p w:rsidR="00366415" w:rsidRPr="00366415" w:rsidRDefault="00366415" w:rsidP="00366415">
            <w:pPr>
              <w:spacing w:before="20" w:after="40"/>
              <w:jc w:val="center"/>
              <w:rPr>
                <w:i/>
                <w:sz w:val="20"/>
                <w:szCs w:val="20"/>
              </w:rPr>
            </w:pPr>
            <w:r>
              <w:rPr>
                <w:i/>
                <w:sz w:val="20"/>
                <w:szCs w:val="20"/>
              </w:rPr>
              <w:t>7</w:t>
            </w:r>
          </w:p>
        </w:tc>
        <w:tc>
          <w:tcPr>
            <w:tcW w:w="1417" w:type="dxa"/>
            <w:vAlign w:val="center"/>
          </w:tcPr>
          <w:p w:rsidR="00366415" w:rsidRPr="00366415" w:rsidRDefault="00366415" w:rsidP="00366415">
            <w:pPr>
              <w:spacing w:before="20" w:after="40"/>
              <w:jc w:val="center"/>
              <w:rPr>
                <w:i/>
                <w:spacing w:val="-2"/>
                <w:sz w:val="20"/>
                <w:szCs w:val="20"/>
              </w:rPr>
            </w:pPr>
            <w:r>
              <w:rPr>
                <w:i/>
                <w:spacing w:val="-2"/>
                <w:sz w:val="20"/>
                <w:szCs w:val="20"/>
              </w:rPr>
              <w:t>8</w:t>
            </w:r>
          </w:p>
        </w:tc>
        <w:tc>
          <w:tcPr>
            <w:tcW w:w="1418" w:type="dxa"/>
            <w:vAlign w:val="center"/>
          </w:tcPr>
          <w:p w:rsidR="00366415" w:rsidRPr="00366415" w:rsidRDefault="00366415" w:rsidP="00366415">
            <w:pPr>
              <w:spacing w:before="20" w:after="40"/>
              <w:jc w:val="center"/>
              <w:rPr>
                <w:i/>
                <w:spacing w:val="-2"/>
                <w:sz w:val="20"/>
                <w:szCs w:val="20"/>
              </w:rPr>
            </w:pPr>
            <w:r>
              <w:rPr>
                <w:i/>
                <w:spacing w:val="-2"/>
                <w:sz w:val="20"/>
                <w:szCs w:val="20"/>
              </w:rPr>
              <w:t>9</w:t>
            </w:r>
          </w:p>
        </w:tc>
      </w:tr>
      <w:tr w:rsidR="00057FA2" w:rsidRPr="0029403D" w:rsidTr="001B36C6">
        <w:trPr>
          <w:trHeight w:val="70"/>
        </w:trPr>
        <w:tc>
          <w:tcPr>
            <w:tcW w:w="2211" w:type="dxa"/>
            <w:vAlign w:val="center"/>
          </w:tcPr>
          <w:p w:rsidR="00057FA2" w:rsidRPr="0029403D" w:rsidRDefault="00057FA2" w:rsidP="001A28B4">
            <w:pPr>
              <w:spacing w:before="40" w:after="40"/>
              <w:rPr>
                <w:sz w:val="22"/>
                <w:szCs w:val="22"/>
              </w:rPr>
            </w:pPr>
            <w:r w:rsidRPr="0029403D">
              <w:rPr>
                <w:sz w:val="22"/>
                <w:szCs w:val="22"/>
              </w:rPr>
              <w:t>НДФЛ</w:t>
            </w:r>
          </w:p>
        </w:tc>
        <w:tc>
          <w:tcPr>
            <w:tcW w:w="737" w:type="dxa"/>
            <w:vAlign w:val="center"/>
          </w:tcPr>
          <w:p w:rsidR="00057FA2" w:rsidRPr="0029403D" w:rsidRDefault="00057FA2" w:rsidP="00057FA2">
            <w:pPr>
              <w:spacing w:before="40" w:after="40"/>
              <w:jc w:val="center"/>
              <w:rPr>
                <w:sz w:val="22"/>
                <w:szCs w:val="22"/>
              </w:rPr>
            </w:pPr>
            <w:r>
              <w:rPr>
                <w:sz w:val="22"/>
                <w:szCs w:val="22"/>
              </w:rPr>
              <w:t>380,4</w:t>
            </w:r>
          </w:p>
        </w:tc>
        <w:tc>
          <w:tcPr>
            <w:tcW w:w="737" w:type="dxa"/>
            <w:vAlign w:val="center"/>
          </w:tcPr>
          <w:p w:rsidR="00057FA2" w:rsidRPr="0029403D" w:rsidRDefault="00057FA2" w:rsidP="00057FA2">
            <w:pPr>
              <w:spacing w:before="40" w:after="40"/>
              <w:jc w:val="center"/>
              <w:rPr>
                <w:sz w:val="22"/>
                <w:szCs w:val="22"/>
              </w:rPr>
            </w:pPr>
            <w:r>
              <w:rPr>
                <w:sz w:val="22"/>
                <w:szCs w:val="22"/>
              </w:rPr>
              <w:t>313,3</w:t>
            </w:r>
          </w:p>
        </w:tc>
        <w:tc>
          <w:tcPr>
            <w:tcW w:w="850" w:type="dxa"/>
            <w:vAlign w:val="center"/>
          </w:tcPr>
          <w:p w:rsidR="00057FA2" w:rsidRPr="0029403D" w:rsidRDefault="00057FA2" w:rsidP="001A28B4">
            <w:pPr>
              <w:spacing w:before="40" w:after="40"/>
              <w:jc w:val="center"/>
              <w:rPr>
                <w:sz w:val="22"/>
                <w:szCs w:val="22"/>
              </w:rPr>
            </w:pPr>
            <w:r>
              <w:rPr>
                <w:sz w:val="22"/>
                <w:szCs w:val="22"/>
              </w:rPr>
              <w:t>362,3</w:t>
            </w:r>
          </w:p>
        </w:tc>
        <w:tc>
          <w:tcPr>
            <w:tcW w:w="794" w:type="dxa"/>
            <w:vAlign w:val="center"/>
          </w:tcPr>
          <w:p w:rsidR="00057FA2" w:rsidRPr="0029403D" w:rsidRDefault="00057FA2" w:rsidP="00057FA2">
            <w:pPr>
              <w:spacing w:before="40" w:after="40"/>
              <w:jc w:val="center"/>
              <w:rPr>
                <w:sz w:val="22"/>
                <w:szCs w:val="22"/>
              </w:rPr>
            </w:pPr>
            <w:r>
              <w:rPr>
                <w:sz w:val="22"/>
                <w:szCs w:val="22"/>
              </w:rPr>
              <w:t>89,2%</w:t>
            </w:r>
          </w:p>
        </w:tc>
        <w:tc>
          <w:tcPr>
            <w:tcW w:w="794" w:type="dxa"/>
            <w:vAlign w:val="center"/>
          </w:tcPr>
          <w:p w:rsidR="00057FA2" w:rsidRPr="0029403D" w:rsidRDefault="00057FA2" w:rsidP="00057FA2">
            <w:pPr>
              <w:spacing w:before="40" w:after="40"/>
              <w:jc w:val="center"/>
              <w:rPr>
                <w:sz w:val="22"/>
                <w:szCs w:val="22"/>
              </w:rPr>
            </w:pPr>
            <w:r>
              <w:rPr>
                <w:sz w:val="22"/>
                <w:szCs w:val="22"/>
              </w:rPr>
              <w:t>85,2%</w:t>
            </w:r>
          </w:p>
        </w:tc>
        <w:tc>
          <w:tcPr>
            <w:tcW w:w="794" w:type="dxa"/>
            <w:vAlign w:val="center"/>
          </w:tcPr>
          <w:p w:rsidR="00057FA2" w:rsidRPr="0029403D" w:rsidRDefault="001B36C6" w:rsidP="001A28B4">
            <w:pPr>
              <w:spacing w:before="40" w:after="40"/>
              <w:jc w:val="center"/>
              <w:rPr>
                <w:sz w:val="22"/>
                <w:szCs w:val="22"/>
              </w:rPr>
            </w:pPr>
            <w:r>
              <w:rPr>
                <w:sz w:val="22"/>
                <w:szCs w:val="22"/>
              </w:rPr>
              <w:t>28,2%</w:t>
            </w:r>
          </w:p>
        </w:tc>
        <w:tc>
          <w:tcPr>
            <w:tcW w:w="1417" w:type="dxa"/>
            <w:vAlign w:val="center"/>
          </w:tcPr>
          <w:p w:rsidR="00057FA2" w:rsidRPr="00215836" w:rsidRDefault="00057FA2" w:rsidP="00057FA2">
            <w:pPr>
              <w:spacing w:before="40" w:after="40"/>
              <w:jc w:val="center"/>
              <w:rPr>
                <w:spacing w:val="-2"/>
                <w:sz w:val="21"/>
                <w:szCs w:val="21"/>
              </w:rPr>
            </w:pPr>
            <w:r w:rsidRPr="00215836">
              <w:rPr>
                <w:spacing w:val="-2"/>
                <w:sz w:val="21"/>
                <w:szCs w:val="21"/>
              </w:rPr>
              <w:t>-67,1 / -17,6%</w:t>
            </w:r>
          </w:p>
        </w:tc>
        <w:tc>
          <w:tcPr>
            <w:tcW w:w="1418" w:type="dxa"/>
            <w:vAlign w:val="center"/>
          </w:tcPr>
          <w:p w:rsidR="00057FA2" w:rsidRPr="00215836" w:rsidRDefault="001B36C6" w:rsidP="001B36C6">
            <w:pPr>
              <w:spacing w:before="40" w:after="40"/>
              <w:jc w:val="center"/>
              <w:rPr>
                <w:spacing w:val="-2"/>
                <w:sz w:val="21"/>
                <w:szCs w:val="21"/>
              </w:rPr>
            </w:pPr>
            <w:r>
              <w:rPr>
                <w:spacing w:val="-2"/>
                <w:sz w:val="21"/>
                <w:szCs w:val="21"/>
              </w:rPr>
              <w:t>49,0</w:t>
            </w:r>
            <w:r w:rsidR="00057FA2" w:rsidRPr="00215836">
              <w:rPr>
                <w:spacing w:val="-2"/>
                <w:sz w:val="21"/>
                <w:szCs w:val="21"/>
              </w:rPr>
              <w:t xml:space="preserve"> / </w:t>
            </w:r>
            <w:r>
              <w:rPr>
                <w:spacing w:val="-2"/>
                <w:sz w:val="21"/>
                <w:szCs w:val="21"/>
              </w:rPr>
              <w:t>15</w:t>
            </w:r>
            <w:r w:rsidR="00057FA2" w:rsidRPr="00215836">
              <w:rPr>
                <w:spacing w:val="-2"/>
                <w:sz w:val="21"/>
                <w:szCs w:val="21"/>
              </w:rPr>
              <w:t>,6%</w:t>
            </w:r>
          </w:p>
        </w:tc>
      </w:tr>
      <w:tr w:rsidR="00366415" w:rsidRPr="00366415" w:rsidTr="00235F1B">
        <w:trPr>
          <w:trHeight w:val="70"/>
        </w:trPr>
        <w:tc>
          <w:tcPr>
            <w:tcW w:w="2211" w:type="dxa"/>
            <w:vAlign w:val="center"/>
          </w:tcPr>
          <w:p w:rsidR="00366415" w:rsidRPr="00366415" w:rsidRDefault="00366415" w:rsidP="00235F1B">
            <w:pPr>
              <w:spacing w:before="20" w:after="40"/>
              <w:jc w:val="center"/>
              <w:rPr>
                <w:i/>
                <w:sz w:val="20"/>
                <w:szCs w:val="20"/>
              </w:rPr>
            </w:pPr>
            <w:r>
              <w:rPr>
                <w:i/>
                <w:sz w:val="20"/>
                <w:szCs w:val="20"/>
              </w:rPr>
              <w:lastRenderedPageBreak/>
              <w:t>1</w:t>
            </w:r>
          </w:p>
        </w:tc>
        <w:tc>
          <w:tcPr>
            <w:tcW w:w="737" w:type="dxa"/>
            <w:vAlign w:val="center"/>
          </w:tcPr>
          <w:p w:rsidR="00366415" w:rsidRPr="00366415" w:rsidRDefault="00366415" w:rsidP="00235F1B">
            <w:pPr>
              <w:spacing w:before="20" w:after="40"/>
              <w:jc w:val="center"/>
              <w:rPr>
                <w:i/>
                <w:sz w:val="20"/>
                <w:szCs w:val="20"/>
              </w:rPr>
            </w:pPr>
            <w:r>
              <w:rPr>
                <w:i/>
                <w:sz w:val="20"/>
                <w:szCs w:val="20"/>
              </w:rPr>
              <w:t>2</w:t>
            </w:r>
          </w:p>
        </w:tc>
        <w:tc>
          <w:tcPr>
            <w:tcW w:w="737" w:type="dxa"/>
            <w:vAlign w:val="center"/>
          </w:tcPr>
          <w:p w:rsidR="00366415" w:rsidRPr="00366415" w:rsidRDefault="00366415" w:rsidP="00235F1B">
            <w:pPr>
              <w:spacing w:before="20" w:after="40"/>
              <w:jc w:val="center"/>
              <w:rPr>
                <w:i/>
                <w:sz w:val="20"/>
                <w:szCs w:val="20"/>
              </w:rPr>
            </w:pPr>
            <w:r>
              <w:rPr>
                <w:i/>
                <w:sz w:val="20"/>
                <w:szCs w:val="20"/>
              </w:rPr>
              <w:t>3</w:t>
            </w:r>
          </w:p>
        </w:tc>
        <w:tc>
          <w:tcPr>
            <w:tcW w:w="850" w:type="dxa"/>
            <w:vAlign w:val="center"/>
          </w:tcPr>
          <w:p w:rsidR="00366415" w:rsidRPr="00366415" w:rsidRDefault="00366415" w:rsidP="00235F1B">
            <w:pPr>
              <w:spacing w:before="20" w:after="40"/>
              <w:jc w:val="center"/>
              <w:rPr>
                <w:i/>
                <w:sz w:val="20"/>
                <w:szCs w:val="20"/>
              </w:rPr>
            </w:pPr>
            <w:r>
              <w:rPr>
                <w:i/>
                <w:sz w:val="20"/>
                <w:szCs w:val="20"/>
              </w:rPr>
              <w:t>4</w:t>
            </w:r>
          </w:p>
        </w:tc>
        <w:tc>
          <w:tcPr>
            <w:tcW w:w="794" w:type="dxa"/>
            <w:vAlign w:val="center"/>
          </w:tcPr>
          <w:p w:rsidR="00366415" w:rsidRPr="00366415" w:rsidRDefault="00366415" w:rsidP="00235F1B">
            <w:pPr>
              <w:spacing w:before="20" w:after="40"/>
              <w:jc w:val="center"/>
              <w:rPr>
                <w:i/>
                <w:sz w:val="20"/>
                <w:szCs w:val="20"/>
              </w:rPr>
            </w:pPr>
            <w:r>
              <w:rPr>
                <w:i/>
                <w:sz w:val="20"/>
                <w:szCs w:val="20"/>
              </w:rPr>
              <w:t>5</w:t>
            </w:r>
          </w:p>
        </w:tc>
        <w:tc>
          <w:tcPr>
            <w:tcW w:w="794" w:type="dxa"/>
            <w:vAlign w:val="center"/>
          </w:tcPr>
          <w:p w:rsidR="00366415" w:rsidRPr="00366415" w:rsidRDefault="00366415" w:rsidP="00235F1B">
            <w:pPr>
              <w:spacing w:before="20" w:after="40"/>
              <w:jc w:val="center"/>
              <w:rPr>
                <w:i/>
                <w:sz w:val="20"/>
                <w:szCs w:val="20"/>
              </w:rPr>
            </w:pPr>
            <w:r>
              <w:rPr>
                <w:i/>
                <w:sz w:val="20"/>
                <w:szCs w:val="20"/>
              </w:rPr>
              <w:t>6</w:t>
            </w:r>
          </w:p>
        </w:tc>
        <w:tc>
          <w:tcPr>
            <w:tcW w:w="794" w:type="dxa"/>
            <w:vAlign w:val="center"/>
          </w:tcPr>
          <w:p w:rsidR="00366415" w:rsidRPr="00366415" w:rsidRDefault="00366415" w:rsidP="00235F1B">
            <w:pPr>
              <w:spacing w:before="20" w:after="40"/>
              <w:jc w:val="center"/>
              <w:rPr>
                <w:i/>
                <w:sz w:val="20"/>
                <w:szCs w:val="20"/>
              </w:rPr>
            </w:pPr>
            <w:r>
              <w:rPr>
                <w:i/>
                <w:sz w:val="20"/>
                <w:szCs w:val="20"/>
              </w:rPr>
              <w:t>7</w:t>
            </w:r>
          </w:p>
        </w:tc>
        <w:tc>
          <w:tcPr>
            <w:tcW w:w="1417" w:type="dxa"/>
            <w:vAlign w:val="center"/>
          </w:tcPr>
          <w:p w:rsidR="00366415" w:rsidRPr="00366415" w:rsidRDefault="00366415" w:rsidP="00235F1B">
            <w:pPr>
              <w:spacing w:before="20" w:after="40"/>
              <w:jc w:val="center"/>
              <w:rPr>
                <w:i/>
                <w:spacing w:val="-2"/>
                <w:sz w:val="20"/>
                <w:szCs w:val="20"/>
              </w:rPr>
            </w:pPr>
            <w:r>
              <w:rPr>
                <w:i/>
                <w:spacing w:val="-2"/>
                <w:sz w:val="20"/>
                <w:szCs w:val="20"/>
              </w:rPr>
              <w:t>8</w:t>
            </w:r>
          </w:p>
        </w:tc>
        <w:tc>
          <w:tcPr>
            <w:tcW w:w="1418" w:type="dxa"/>
            <w:vAlign w:val="center"/>
          </w:tcPr>
          <w:p w:rsidR="00366415" w:rsidRPr="00366415" w:rsidRDefault="00366415" w:rsidP="00235F1B">
            <w:pPr>
              <w:spacing w:before="20" w:after="40"/>
              <w:jc w:val="center"/>
              <w:rPr>
                <w:i/>
                <w:spacing w:val="-2"/>
                <w:sz w:val="20"/>
                <w:szCs w:val="20"/>
              </w:rPr>
            </w:pPr>
            <w:r>
              <w:rPr>
                <w:i/>
                <w:spacing w:val="-2"/>
                <w:sz w:val="20"/>
                <w:szCs w:val="20"/>
              </w:rPr>
              <w:t>9</w:t>
            </w:r>
          </w:p>
        </w:tc>
      </w:tr>
      <w:tr w:rsidR="00057FA2" w:rsidRPr="0029403D" w:rsidTr="001B36C6">
        <w:trPr>
          <w:trHeight w:val="70"/>
        </w:trPr>
        <w:tc>
          <w:tcPr>
            <w:tcW w:w="2211" w:type="dxa"/>
            <w:vAlign w:val="center"/>
          </w:tcPr>
          <w:p w:rsidR="00057FA2" w:rsidRPr="0029403D" w:rsidRDefault="00057FA2" w:rsidP="00057FA2">
            <w:pPr>
              <w:spacing w:before="40" w:after="40"/>
              <w:rPr>
                <w:sz w:val="22"/>
                <w:szCs w:val="22"/>
              </w:rPr>
            </w:pPr>
            <w:r>
              <w:rPr>
                <w:sz w:val="22"/>
                <w:szCs w:val="22"/>
              </w:rPr>
              <w:t>Акцизы</w:t>
            </w:r>
          </w:p>
        </w:tc>
        <w:tc>
          <w:tcPr>
            <w:tcW w:w="737" w:type="dxa"/>
            <w:vAlign w:val="center"/>
          </w:tcPr>
          <w:p w:rsidR="00057FA2" w:rsidRPr="0029403D" w:rsidRDefault="00057FA2" w:rsidP="00057FA2">
            <w:pPr>
              <w:spacing w:before="40" w:after="40"/>
              <w:jc w:val="center"/>
              <w:rPr>
                <w:sz w:val="22"/>
                <w:szCs w:val="22"/>
              </w:rPr>
            </w:pPr>
          </w:p>
        </w:tc>
        <w:tc>
          <w:tcPr>
            <w:tcW w:w="737" w:type="dxa"/>
            <w:vAlign w:val="center"/>
          </w:tcPr>
          <w:p w:rsidR="00057FA2" w:rsidRPr="0029403D" w:rsidRDefault="00057FA2" w:rsidP="00057FA2">
            <w:pPr>
              <w:spacing w:before="40" w:after="40"/>
              <w:jc w:val="center"/>
              <w:rPr>
                <w:sz w:val="22"/>
                <w:szCs w:val="22"/>
              </w:rPr>
            </w:pPr>
          </w:p>
        </w:tc>
        <w:tc>
          <w:tcPr>
            <w:tcW w:w="850" w:type="dxa"/>
            <w:vAlign w:val="center"/>
          </w:tcPr>
          <w:p w:rsidR="00057FA2" w:rsidRPr="0029403D" w:rsidRDefault="00057FA2" w:rsidP="00057FA2">
            <w:pPr>
              <w:spacing w:before="40" w:after="40"/>
              <w:jc w:val="center"/>
              <w:rPr>
                <w:sz w:val="22"/>
                <w:szCs w:val="22"/>
              </w:rPr>
            </w:pPr>
            <w:r>
              <w:rPr>
                <w:sz w:val="22"/>
                <w:szCs w:val="22"/>
              </w:rPr>
              <w:t>835,3</w:t>
            </w:r>
          </w:p>
        </w:tc>
        <w:tc>
          <w:tcPr>
            <w:tcW w:w="794" w:type="dxa"/>
            <w:vAlign w:val="center"/>
          </w:tcPr>
          <w:p w:rsidR="00057FA2" w:rsidRPr="0029403D" w:rsidRDefault="00057FA2" w:rsidP="00057FA2">
            <w:pPr>
              <w:spacing w:before="40" w:after="40"/>
              <w:jc w:val="center"/>
              <w:rPr>
                <w:sz w:val="22"/>
                <w:szCs w:val="22"/>
              </w:rPr>
            </w:pPr>
          </w:p>
        </w:tc>
        <w:tc>
          <w:tcPr>
            <w:tcW w:w="794" w:type="dxa"/>
            <w:vAlign w:val="center"/>
          </w:tcPr>
          <w:p w:rsidR="00057FA2" w:rsidRPr="0029403D" w:rsidRDefault="00057FA2" w:rsidP="00057FA2">
            <w:pPr>
              <w:spacing w:before="40" w:after="40"/>
              <w:jc w:val="center"/>
              <w:rPr>
                <w:sz w:val="22"/>
                <w:szCs w:val="22"/>
              </w:rPr>
            </w:pPr>
          </w:p>
        </w:tc>
        <w:tc>
          <w:tcPr>
            <w:tcW w:w="794" w:type="dxa"/>
            <w:vAlign w:val="center"/>
          </w:tcPr>
          <w:p w:rsidR="00057FA2" w:rsidRPr="0029403D" w:rsidRDefault="001B36C6" w:rsidP="00057FA2">
            <w:pPr>
              <w:spacing w:before="40" w:after="40"/>
              <w:jc w:val="center"/>
              <w:rPr>
                <w:sz w:val="22"/>
                <w:szCs w:val="22"/>
              </w:rPr>
            </w:pPr>
            <w:r>
              <w:rPr>
                <w:sz w:val="22"/>
                <w:szCs w:val="22"/>
              </w:rPr>
              <w:t>65,0%</w:t>
            </w:r>
          </w:p>
        </w:tc>
        <w:tc>
          <w:tcPr>
            <w:tcW w:w="1417" w:type="dxa"/>
            <w:vAlign w:val="center"/>
          </w:tcPr>
          <w:p w:rsidR="00057FA2" w:rsidRPr="00215836" w:rsidRDefault="00057FA2" w:rsidP="00057FA2">
            <w:pPr>
              <w:spacing w:before="40" w:after="40"/>
              <w:jc w:val="center"/>
              <w:rPr>
                <w:spacing w:val="-2"/>
                <w:sz w:val="21"/>
                <w:szCs w:val="21"/>
              </w:rPr>
            </w:pPr>
          </w:p>
        </w:tc>
        <w:tc>
          <w:tcPr>
            <w:tcW w:w="1418" w:type="dxa"/>
            <w:vAlign w:val="center"/>
          </w:tcPr>
          <w:p w:rsidR="00057FA2" w:rsidRPr="00215836" w:rsidRDefault="00057FA2" w:rsidP="00057FA2">
            <w:pPr>
              <w:spacing w:before="40" w:after="40"/>
              <w:jc w:val="center"/>
              <w:rPr>
                <w:spacing w:val="-2"/>
                <w:sz w:val="21"/>
                <w:szCs w:val="21"/>
              </w:rPr>
            </w:pPr>
          </w:p>
        </w:tc>
      </w:tr>
      <w:tr w:rsidR="00057FA2" w:rsidRPr="0029403D" w:rsidTr="001B36C6">
        <w:tc>
          <w:tcPr>
            <w:tcW w:w="2211" w:type="dxa"/>
          </w:tcPr>
          <w:p w:rsidR="00057FA2" w:rsidRPr="0029403D" w:rsidRDefault="00057FA2" w:rsidP="001A28B4">
            <w:pPr>
              <w:rPr>
                <w:sz w:val="22"/>
                <w:szCs w:val="22"/>
              </w:rPr>
            </w:pPr>
            <w:r w:rsidRPr="0029403D">
              <w:rPr>
                <w:sz w:val="22"/>
                <w:szCs w:val="22"/>
              </w:rPr>
              <w:t>Налог на имущество физических лиц</w:t>
            </w:r>
          </w:p>
        </w:tc>
        <w:tc>
          <w:tcPr>
            <w:tcW w:w="737" w:type="dxa"/>
            <w:vAlign w:val="center"/>
          </w:tcPr>
          <w:p w:rsidR="00057FA2" w:rsidRPr="0029403D" w:rsidRDefault="00057FA2" w:rsidP="00057FA2">
            <w:pPr>
              <w:jc w:val="center"/>
              <w:rPr>
                <w:sz w:val="22"/>
                <w:szCs w:val="22"/>
              </w:rPr>
            </w:pPr>
            <w:r>
              <w:rPr>
                <w:sz w:val="22"/>
                <w:szCs w:val="22"/>
              </w:rPr>
              <w:t>0,2</w:t>
            </w:r>
          </w:p>
        </w:tc>
        <w:tc>
          <w:tcPr>
            <w:tcW w:w="737" w:type="dxa"/>
            <w:vAlign w:val="center"/>
          </w:tcPr>
          <w:p w:rsidR="00057FA2" w:rsidRPr="0029403D" w:rsidRDefault="00057FA2" w:rsidP="00057FA2">
            <w:pPr>
              <w:jc w:val="center"/>
              <w:rPr>
                <w:sz w:val="22"/>
                <w:szCs w:val="22"/>
              </w:rPr>
            </w:pPr>
            <w:r>
              <w:rPr>
                <w:sz w:val="22"/>
                <w:szCs w:val="22"/>
              </w:rPr>
              <w:t>21,0</w:t>
            </w:r>
          </w:p>
        </w:tc>
        <w:tc>
          <w:tcPr>
            <w:tcW w:w="850" w:type="dxa"/>
            <w:vAlign w:val="center"/>
          </w:tcPr>
          <w:p w:rsidR="00057FA2" w:rsidRPr="0029403D" w:rsidRDefault="00057FA2" w:rsidP="001A28B4">
            <w:pPr>
              <w:jc w:val="center"/>
              <w:rPr>
                <w:sz w:val="22"/>
                <w:szCs w:val="22"/>
              </w:rPr>
            </w:pPr>
            <w:r>
              <w:rPr>
                <w:sz w:val="22"/>
                <w:szCs w:val="22"/>
              </w:rPr>
              <w:t>6,8</w:t>
            </w:r>
          </w:p>
        </w:tc>
        <w:tc>
          <w:tcPr>
            <w:tcW w:w="794" w:type="dxa"/>
            <w:vAlign w:val="center"/>
          </w:tcPr>
          <w:p w:rsidR="00057FA2" w:rsidRPr="0029403D" w:rsidRDefault="00057FA2" w:rsidP="00057FA2">
            <w:pPr>
              <w:jc w:val="center"/>
              <w:rPr>
                <w:sz w:val="22"/>
                <w:szCs w:val="22"/>
              </w:rPr>
            </w:pPr>
            <w:r>
              <w:rPr>
                <w:sz w:val="22"/>
                <w:szCs w:val="22"/>
              </w:rPr>
              <w:t>0,0%</w:t>
            </w:r>
          </w:p>
        </w:tc>
        <w:tc>
          <w:tcPr>
            <w:tcW w:w="794" w:type="dxa"/>
            <w:vAlign w:val="center"/>
          </w:tcPr>
          <w:p w:rsidR="00057FA2" w:rsidRPr="0029403D" w:rsidRDefault="00057FA2" w:rsidP="00057FA2">
            <w:pPr>
              <w:spacing w:line="360" w:lineRule="auto"/>
              <w:jc w:val="center"/>
              <w:rPr>
                <w:sz w:val="22"/>
                <w:szCs w:val="22"/>
              </w:rPr>
            </w:pPr>
            <w:r>
              <w:rPr>
                <w:sz w:val="22"/>
                <w:szCs w:val="22"/>
              </w:rPr>
              <w:t>5,7%</w:t>
            </w:r>
          </w:p>
        </w:tc>
        <w:tc>
          <w:tcPr>
            <w:tcW w:w="794" w:type="dxa"/>
            <w:vAlign w:val="center"/>
          </w:tcPr>
          <w:p w:rsidR="00057FA2" w:rsidRPr="0029403D" w:rsidRDefault="001B36C6" w:rsidP="00215836">
            <w:pPr>
              <w:spacing w:line="360" w:lineRule="auto"/>
              <w:jc w:val="center"/>
              <w:rPr>
                <w:sz w:val="22"/>
                <w:szCs w:val="22"/>
              </w:rPr>
            </w:pPr>
            <w:r>
              <w:rPr>
                <w:sz w:val="22"/>
                <w:szCs w:val="22"/>
              </w:rPr>
              <w:t>0,5%</w:t>
            </w:r>
          </w:p>
        </w:tc>
        <w:tc>
          <w:tcPr>
            <w:tcW w:w="1417" w:type="dxa"/>
            <w:vAlign w:val="center"/>
          </w:tcPr>
          <w:p w:rsidR="00057FA2" w:rsidRDefault="00057FA2" w:rsidP="00057FA2">
            <w:pPr>
              <w:jc w:val="center"/>
              <w:rPr>
                <w:sz w:val="22"/>
                <w:szCs w:val="22"/>
              </w:rPr>
            </w:pPr>
            <w:r>
              <w:rPr>
                <w:sz w:val="22"/>
                <w:szCs w:val="22"/>
              </w:rPr>
              <w:t xml:space="preserve">20,8 / </w:t>
            </w:r>
          </w:p>
          <w:p w:rsidR="00057FA2" w:rsidRPr="0029403D" w:rsidRDefault="00057FA2" w:rsidP="00057FA2">
            <w:pPr>
              <w:jc w:val="center"/>
              <w:rPr>
                <w:sz w:val="22"/>
                <w:szCs w:val="22"/>
              </w:rPr>
            </w:pPr>
            <w:r>
              <w:rPr>
                <w:sz w:val="22"/>
                <w:szCs w:val="22"/>
              </w:rPr>
              <w:t>105 раз</w:t>
            </w:r>
          </w:p>
        </w:tc>
        <w:tc>
          <w:tcPr>
            <w:tcW w:w="1418" w:type="dxa"/>
            <w:vAlign w:val="center"/>
          </w:tcPr>
          <w:p w:rsidR="00057FA2" w:rsidRDefault="001B36C6" w:rsidP="001A28B4">
            <w:pPr>
              <w:jc w:val="center"/>
              <w:rPr>
                <w:sz w:val="22"/>
                <w:szCs w:val="22"/>
              </w:rPr>
            </w:pPr>
            <w:r>
              <w:rPr>
                <w:sz w:val="22"/>
                <w:szCs w:val="22"/>
              </w:rPr>
              <w:t>-14,2</w:t>
            </w:r>
            <w:r w:rsidR="00057FA2">
              <w:rPr>
                <w:sz w:val="22"/>
                <w:szCs w:val="22"/>
              </w:rPr>
              <w:t xml:space="preserve"> / </w:t>
            </w:r>
          </w:p>
          <w:p w:rsidR="00057FA2" w:rsidRPr="0029403D" w:rsidRDefault="001B36C6" w:rsidP="001A28B4">
            <w:pPr>
              <w:jc w:val="center"/>
              <w:rPr>
                <w:sz w:val="22"/>
                <w:szCs w:val="22"/>
              </w:rPr>
            </w:pPr>
            <w:r>
              <w:rPr>
                <w:sz w:val="22"/>
                <w:szCs w:val="22"/>
              </w:rPr>
              <w:t>-67,6%</w:t>
            </w:r>
          </w:p>
        </w:tc>
      </w:tr>
      <w:tr w:rsidR="00057FA2" w:rsidRPr="0029403D" w:rsidTr="001B36C6">
        <w:trPr>
          <w:trHeight w:val="175"/>
        </w:trPr>
        <w:tc>
          <w:tcPr>
            <w:tcW w:w="2211" w:type="dxa"/>
          </w:tcPr>
          <w:p w:rsidR="00057FA2" w:rsidRPr="0029403D" w:rsidRDefault="00057FA2" w:rsidP="001A28B4">
            <w:pPr>
              <w:spacing w:before="40" w:after="40"/>
              <w:jc w:val="both"/>
              <w:rPr>
                <w:sz w:val="22"/>
                <w:szCs w:val="22"/>
              </w:rPr>
            </w:pPr>
            <w:r w:rsidRPr="0029403D">
              <w:rPr>
                <w:sz w:val="22"/>
                <w:szCs w:val="22"/>
              </w:rPr>
              <w:t>Земельный налог</w:t>
            </w:r>
          </w:p>
        </w:tc>
        <w:tc>
          <w:tcPr>
            <w:tcW w:w="737" w:type="dxa"/>
            <w:vAlign w:val="center"/>
          </w:tcPr>
          <w:p w:rsidR="00057FA2" w:rsidRPr="0029403D" w:rsidRDefault="00057FA2" w:rsidP="00057FA2">
            <w:pPr>
              <w:spacing w:before="40" w:after="40"/>
              <w:jc w:val="center"/>
              <w:rPr>
                <w:sz w:val="22"/>
                <w:szCs w:val="22"/>
              </w:rPr>
            </w:pPr>
            <w:r>
              <w:rPr>
                <w:sz w:val="22"/>
                <w:szCs w:val="22"/>
              </w:rPr>
              <w:t>45,8</w:t>
            </w:r>
          </w:p>
        </w:tc>
        <w:tc>
          <w:tcPr>
            <w:tcW w:w="737" w:type="dxa"/>
            <w:vAlign w:val="center"/>
          </w:tcPr>
          <w:p w:rsidR="00057FA2" w:rsidRPr="0029403D" w:rsidRDefault="00057FA2" w:rsidP="00057FA2">
            <w:pPr>
              <w:spacing w:before="40" w:after="40"/>
              <w:jc w:val="center"/>
              <w:rPr>
                <w:sz w:val="22"/>
                <w:szCs w:val="22"/>
              </w:rPr>
            </w:pPr>
            <w:r>
              <w:rPr>
                <w:sz w:val="22"/>
                <w:szCs w:val="22"/>
              </w:rPr>
              <w:t>33,3</w:t>
            </w:r>
          </w:p>
        </w:tc>
        <w:tc>
          <w:tcPr>
            <w:tcW w:w="850" w:type="dxa"/>
            <w:vAlign w:val="center"/>
          </w:tcPr>
          <w:p w:rsidR="00057FA2" w:rsidRPr="0029403D" w:rsidRDefault="00057FA2" w:rsidP="001A28B4">
            <w:pPr>
              <w:spacing w:before="40" w:after="40"/>
              <w:jc w:val="center"/>
              <w:rPr>
                <w:sz w:val="22"/>
                <w:szCs w:val="22"/>
              </w:rPr>
            </w:pPr>
            <w:r>
              <w:rPr>
                <w:sz w:val="22"/>
                <w:szCs w:val="22"/>
              </w:rPr>
              <w:t>81,3</w:t>
            </w:r>
          </w:p>
        </w:tc>
        <w:tc>
          <w:tcPr>
            <w:tcW w:w="794" w:type="dxa"/>
            <w:vAlign w:val="center"/>
          </w:tcPr>
          <w:p w:rsidR="00057FA2" w:rsidRPr="0029403D" w:rsidRDefault="00057FA2" w:rsidP="00057FA2">
            <w:pPr>
              <w:spacing w:before="40" w:after="40"/>
              <w:jc w:val="center"/>
              <w:rPr>
                <w:sz w:val="22"/>
                <w:szCs w:val="22"/>
              </w:rPr>
            </w:pPr>
            <w:r>
              <w:rPr>
                <w:sz w:val="22"/>
                <w:szCs w:val="22"/>
              </w:rPr>
              <w:t>10,7%</w:t>
            </w:r>
          </w:p>
        </w:tc>
        <w:tc>
          <w:tcPr>
            <w:tcW w:w="794" w:type="dxa"/>
            <w:vAlign w:val="center"/>
          </w:tcPr>
          <w:p w:rsidR="00057FA2" w:rsidRPr="0029403D" w:rsidRDefault="00057FA2" w:rsidP="00057FA2">
            <w:pPr>
              <w:spacing w:before="40" w:after="40"/>
              <w:jc w:val="center"/>
              <w:rPr>
                <w:sz w:val="22"/>
                <w:szCs w:val="22"/>
              </w:rPr>
            </w:pPr>
            <w:r>
              <w:rPr>
                <w:sz w:val="22"/>
                <w:szCs w:val="22"/>
              </w:rPr>
              <w:t>9,1%</w:t>
            </w:r>
          </w:p>
        </w:tc>
        <w:tc>
          <w:tcPr>
            <w:tcW w:w="794" w:type="dxa"/>
            <w:vAlign w:val="center"/>
          </w:tcPr>
          <w:p w:rsidR="00057FA2" w:rsidRPr="0029403D" w:rsidRDefault="001B36C6" w:rsidP="001A28B4">
            <w:pPr>
              <w:spacing w:before="40" w:after="40"/>
              <w:jc w:val="center"/>
              <w:rPr>
                <w:sz w:val="22"/>
                <w:szCs w:val="22"/>
              </w:rPr>
            </w:pPr>
            <w:r>
              <w:rPr>
                <w:sz w:val="22"/>
                <w:szCs w:val="22"/>
              </w:rPr>
              <w:t>6,3%</w:t>
            </w:r>
          </w:p>
        </w:tc>
        <w:tc>
          <w:tcPr>
            <w:tcW w:w="1417" w:type="dxa"/>
            <w:vAlign w:val="center"/>
          </w:tcPr>
          <w:p w:rsidR="00057FA2" w:rsidRPr="00215836" w:rsidRDefault="00057FA2" w:rsidP="00057FA2">
            <w:pPr>
              <w:spacing w:before="40" w:after="40"/>
              <w:jc w:val="center"/>
              <w:rPr>
                <w:spacing w:val="-2"/>
                <w:sz w:val="21"/>
                <w:szCs w:val="21"/>
              </w:rPr>
            </w:pPr>
            <w:r w:rsidRPr="00215836">
              <w:rPr>
                <w:spacing w:val="-2"/>
                <w:sz w:val="21"/>
                <w:szCs w:val="21"/>
              </w:rPr>
              <w:t>-12,5 / -27,3%</w:t>
            </w:r>
          </w:p>
        </w:tc>
        <w:tc>
          <w:tcPr>
            <w:tcW w:w="1418" w:type="dxa"/>
            <w:vAlign w:val="center"/>
          </w:tcPr>
          <w:p w:rsidR="00057FA2" w:rsidRPr="00215836" w:rsidRDefault="001B36C6" w:rsidP="001B36C6">
            <w:pPr>
              <w:spacing w:before="40" w:after="40"/>
              <w:jc w:val="center"/>
              <w:rPr>
                <w:spacing w:val="-2"/>
                <w:sz w:val="21"/>
                <w:szCs w:val="21"/>
              </w:rPr>
            </w:pPr>
            <w:r>
              <w:rPr>
                <w:spacing w:val="-2"/>
                <w:sz w:val="21"/>
                <w:szCs w:val="21"/>
              </w:rPr>
              <w:t>48,0</w:t>
            </w:r>
            <w:r w:rsidR="00057FA2" w:rsidRPr="00215836">
              <w:rPr>
                <w:spacing w:val="-2"/>
                <w:sz w:val="21"/>
                <w:szCs w:val="21"/>
              </w:rPr>
              <w:t xml:space="preserve"> / </w:t>
            </w:r>
            <w:r>
              <w:rPr>
                <w:spacing w:val="-2"/>
                <w:sz w:val="21"/>
                <w:szCs w:val="21"/>
              </w:rPr>
              <w:t>144,1</w:t>
            </w:r>
            <w:r w:rsidR="00057FA2" w:rsidRPr="00215836">
              <w:rPr>
                <w:spacing w:val="-2"/>
                <w:sz w:val="21"/>
                <w:szCs w:val="21"/>
              </w:rPr>
              <w:t>%</w:t>
            </w:r>
          </w:p>
        </w:tc>
      </w:tr>
      <w:tr w:rsidR="00057FA2" w:rsidRPr="0029403D" w:rsidTr="001B36C6">
        <w:trPr>
          <w:trHeight w:val="283"/>
        </w:trPr>
        <w:tc>
          <w:tcPr>
            <w:tcW w:w="2211" w:type="dxa"/>
          </w:tcPr>
          <w:p w:rsidR="00057FA2" w:rsidRPr="0029403D" w:rsidRDefault="00057FA2" w:rsidP="001A28B4">
            <w:pPr>
              <w:spacing w:before="40" w:after="40"/>
              <w:jc w:val="both"/>
              <w:rPr>
                <w:sz w:val="22"/>
                <w:szCs w:val="22"/>
              </w:rPr>
            </w:pPr>
            <w:r w:rsidRPr="0029403D">
              <w:rPr>
                <w:sz w:val="22"/>
                <w:szCs w:val="22"/>
              </w:rPr>
              <w:t>Прочие</w:t>
            </w:r>
          </w:p>
        </w:tc>
        <w:tc>
          <w:tcPr>
            <w:tcW w:w="737" w:type="dxa"/>
            <w:vAlign w:val="center"/>
          </w:tcPr>
          <w:p w:rsidR="00057FA2" w:rsidRPr="0029403D" w:rsidRDefault="00057FA2" w:rsidP="00057FA2">
            <w:pPr>
              <w:spacing w:before="40" w:after="40"/>
              <w:jc w:val="center"/>
              <w:rPr>
                <w:sz w:val="22"/>
                <w:szCs w:val="22"/>
              </w:rPr>
            </w:pPr>
            <w:r>
              <w:rPr>
                <w:sz w:val="22"/>
                <w:szCs w:val="22"/>
              </w:rPr>
              <w:t>0,2</w:t>
            </w:r>
          </w:p>
        </w:tc>
        <w:tc>
          <w:tcPr>
            <w:tcW w:w="737" w:type="dxa"/>
            <w:vAlign w:val="center"/>
          </w:tcPr>
          <w:p w:rsidR="00057FA2" w:rsidRPr="0029403D" w:rsidRDefault="00057FA2" w:rsidP="00057FA2">
            <w:pPr>
              <w:spacing w:before="40" w:after="40"/>
              <w:jc w:val="center"/>
              <w:rPr>
                <w:sz w:val="22"/>
                <w:szCs w:val="22"/>
              </w:rPr>
            </w:pPr>
          </w:p>
        </w:tc>
        <w:tc>
          <w:tcPr>
            <w:tcW w:w="850" w:type="dxa"/>
            <w:vAlign w:val="center"/>
          </w:tcPr>
          <w:p w:rsidR="00057FA2" w:rsidRPr="0029403D" w:rsidRDefault="00057FA2" w:rsidP="001A28B4">
            <w:pPr>
              <w:spacing w:before="40" w:after="40"/>
              <w:jc w:val="center"/>
              <w:rPr>
                <w:sz w:val="22"/>
                <w:szCs w:val="22"/>
              </w:rPr>
            </w:pPr>
          </w:p>
        </w:tc>
        <w:tc>
          <w:tcPr>
            <w:tcW w:w="794" w:type="dxa"/>
            <w:vAlign w:val="center"/>
          </w:tcPr>
          <w:p w:rsidR="00057FA2" w:rsidRPr="0029403D" w:rsidRDefault="00057FA2" w:rsidP="00057FA2">
            <w:pPr>
              <w:spacing w:before="40" w:after="40"/>
              <w:jc w:val="center"/>
              <w:rPr>
                <w:sz w:val="22"/>
                <w:szCs w:val="22"/>
              </w:rPr>
            </w:pPr>
            <w:r>
              <w:rPr>
                <w:sz w:val="22"/>
                <w:szCs w:val="22"/>
              </w:rPr>
              <w:t>0,0%</w:t>
            </w:r>
          </w:p>
        </w:tc>
        <w:tc>
          <w:tcPr>
            <w:tcW w:w="794" w:type="dxa"/>
            <w:vAlign w:val="center"/>
          </w:tcPr>
          <w:p w:rsidR="00057FA2" w:rsidRPr="0029403D" w:rsidRDefault="00057FA2" w:rsidP="00057FA2">
            <w:pPr>
              <w:spacing w:before="40" w:after="40"/>
              <w:jc w:val="center"/>
              <w:rPr>
                <w:sz w:val="22"/>
                <w:szCs w:val="22"/>
              </w:rPr>
            </w:pPr>
          </w:p>
        </w:tc>
        <w:tc>
          <w:tcPr>
            <w:tcW w:w="794" w:type="dxa"/>
            <w:vAlign w:val="center"/>
          </w:tcPr>
          <w:p w:rsidR="00057FA2" w:rsidRPr="0029403D" w:rsidRDefault="00057FA2" w:rsidP="001A28B4">
            <w:pPr>
              <w:spacing w:before="40" w:after="40"/>
              <w:jc w:val="center"/>
              <w:rPr>
                <w:sz w:val="22"/>
                <w:szCs w:val="22"/>
              </w:rPr>
            </w:pPr>
          </w:p>
        </w:tc>
        <w:tc>
          <w:tcPr>
            <w:tcW w:w="1417" w:type="dxa"/>
            <w:vAlign w:val="center"/>
          </w:tcPr>
          <w:p w:rsidR="00057FA2" w:rsidRPr="0029403D" w:rsidRDefault="00057FA2" w:rsidP="00057FA2">
            <w:pPr>
              <w:spacing w:before="40" w:after="40"/>
              <w:jc w:val="center"/>
              <w:rPr>
                <w:sz w:val="22"/>
                <w:szCs w:val="22"/>
              </w:rPr>
            </w:pPr>
          </w:p>
        </w:tc>
        <w:tc>
          <w:tcPr>
            <w:tcW w:w="1418" w:type="dxa"/>
            <w:vAlign w:val="center"/>
          </w:tcPr>
          <w:p w:rsidR="00057FA2" w:rsidRPr="0029403D" w:rsidRDefault="00057FA2" w:rsidP="001A28B4">
            <w:pPr>
              <w:spacing w:before="40" w:after="40"/>
              <w:jc w:val="center"/>
              <w:rPr>
                <w:sz w:val="22"/>
                <w:szCs w:val="22"/>
              </w:rPr>
            </w:pPr>
          </w:p>
        </w:tc>
      </w:tr>
      <w:tr w:rsidR="00057FA2" w:rsidRPr="0029403D" w:rsidTr="001B36C6">
        <w:tc>
          <w:tcPr>
            <w:tcW w:w="2211" w:type="dxa"/>
          </w:tcPr>
          <w:p w:rsidR="00057FA2" w:rsidRPr="0029403D" w:rsidRDefault="00057FA2" w:rsidP="00877B5F">
            <w:pPr>
              <w:rPr>
                <w:b/>
                <w:sz w:val="22"/>
                <w:szCs w:val="22"/>
              </w:rPr>
            </w:pPr>
            <w:r w:rsidRPr="0029403D">
              <w:rPr>
                <w:b/>
                <w:sz w:val="22"/>
                <w:szCs w:val="22"/>
              </w:rPr>
              <w:t>Итого налоговых доходов</w:t>
            </w:r>
          </w:p>
        </w:tc>
        <w:tc>
          <w:tcPr>
            <w:tcW w:w="737" w:type="dxa"/>
            <w:vAlign w:val="center"/>
          </w:tcPr>
          <w:p w:rsidR="00057FA2" w:rsidRPr="0029403D" w:rsidRDefault="00057FA2" w:rsidP="00057FA2">
            <w:pPr>
              <w:jc w:val="center"/>
              <w:rPr>
                <w:b/>
                <w:sz w:val="22"/>
                <w:szCs w:val="22"/>
              </w:rPr>
            </w:pPr>
            <w:r>
              <w:rPr>
                <w:b/>
                <w:sz w:val="22"/>
                <w:szCs w:val="22"/>
              </w:rPr>
              <w:t>426,6</w:t>
            </w:r>
          </w:p>
        </w:tc>
        <w:tc>
          <w:tcPr>
            <w:tcW w:w="737" w:type="dxa"/>
            <w:vAlign w:val="center"/>
          </w:tcPr>
          <w:p w:rsidR="00057FA2" w:rsidRPr="0029403D" w:rsidRDefault="00057FA2" w:rsidP="00057FA2">
            <w:pPr>
              <w:jc w:val="center"/>
              <w:rPr>
                <w:b/>
                <w:sz w:val="22"/>
                <w:szCs w:val="22"/>
              </w:rPr>
            </w:pPr>
            <w:r>
              <w:rPr>
                <w:b/>
                <w:sz w:val="22"/>
                <w:szCs w:val="22"/>
              </w:rPr>
              <w:t>367,6</w:t>
            </w:r>
          </w:p>
        </w:tc>
        <w:tc>
          <w:tcPr>
            <w:tcW w:w="850" w:type="dxa"/>
            <w:vAlign w:val="center"/>
          </w:tcPr>
          <w:p w:rsidR="00057FA2" w:rsidRPr="0029403D" w:rsidRDefault="00057FA2" w:rsidP="00877B5F">
            <w:pPr>
              <w:jc w:val="center"/>
              <w:rPr>
                <w:b/>
                <w:sz w:val="22"/>
                <w:szCs w:val="22"/>
              </w:rPr>
            </w:pPr>
            <w:r>
              <w:rPr>
                <w:b/>
                <w:sz w:val="22"/>
                <w:szCs w:val="22"/>
              </w:rPr>
              <w:t>1285,7</w:t>
            </w:r>
          </w:p>
        </w:tc>
        <w:tc>
          <w:tcPr>
            <w:tcW w:w="794" w:type="dxa"/>
            <w:vAlign w:val="center"/>
          </w:tcPr>
          <w:p w:rsidR="00057FA2" w:rsidRPr="0029403D" w:rsidRDefault="00057FA2" w:rsidP="00877B5F">
            <w:pPr>
              <w:jc w:val="center"/>
              <w:rPr>
                <w:b/>
                <w:sz w:val="22"/>
                <w:szCs w:val="22"/>
              </w:rPr>
            </w:pPr>
            <w:r w:rsidRPr="0029403D">
              <w:rPr>
                <w:b/>
                <w:sz w:val="22"/>
                <w:szCs w:val="22"/>
              </w:rPr>
              <w:t>100%</w:t>
            </w:r>
          </w:p>
        </w:tc>
        <w:tc>
          <w:tcPr>
            <w:tcW w:w="794" w:type="dxa"/>
            <w:vAlign w:val="center"/>
          </w:tcPr>
          <w:p w:rsidR="00057FA2" w:rsidRPr="0029403D" w:rsidRDefault="00057FA2" w:rsidP="00877B5F">
            <w:pPr>
              <w:jc w:val="center"/>
              <w:rPr>
                <w:b/>
                <w:sz w:val="22"/>
                <w:szCs w:val="22"/>
              </w:rPr>
            </w:pPr>
            <w:r w:rsidRPr="0029403D">
              <w:rPr>
                <w:b/>
                <w:sz w:val="22"/>
                <w:szCs w:val="22"/>
              </w:rPr>
              <w:t>100%</w:t>
            </w:r>
          </w:p>
        </w:tc>
        <w:tc>
          <w:tcPr>
            <w:tcW w:w="794" w:type="dxa"/>
            <w:vAlign w:val="center"/>
          </w:tcPr>
          <w:p w:rsidR="00057FA2" w:rsidRPr="0029403D" w:rsidRDefault="00057FA2" w:rsidP="00877B5F">
            <w:pPr>
              <w:jc w:val="center"/>
              <w:rPr>
                <w:b/>
                <w:sz w:val="22"/>
                <w:szCs w:val="22"/>
              </w:rPr>
            </w:pPr>
            <w:r w:rsidRPr="0029403D">
              <w:rPr>
                <w:b/>
                <w:sz w:val="22"/>
                <w:szCs w:val="22"/>
              </w:rPr>
              <w:t>100%</w:t>
            </w:r>
          </w:p>
        </w:tc>
        <w:tc>
          <w:tcPr>
            <w:tcW w:w="1417" w:type="dxa"/>
            <w:vAlign w:val="center"/>
          </w:tcPr>
          <w:p w:rsidR="00057FA2" w:rsidRPr="00215836" w:rsidRDefault="00057FA2" w:rsidP="00057FA2">
            <w:pPr>
              <w:jc w:val="center"/>
              <w:rPr>
                <w:b/>
                <w:spacing w:val="-2"/>
                <w:sz w:val="21"/>
                <w:szCs w:val="21"/>
              </w:rPr>
            </w:pPr>
            <w:r w:rsidRPr="00215836">
              <w:rPr>
                <w:b/>
                <w:spacing w:val="-2"/>
                <w:sz w:val="21"/>
                <w:szCs w:val="21"/>
              </w:rPr>
              <w:t>-59,0 /-13,8%</w:t>
            </w:r>
          </w:p>
        </w:tc>
        <w:tc>
          <w:tcPr>
            <w:tcW w:w="1418" w:type="dxa"/>
            <w:vAlign w:val="center"/>
          </w:tcPr>
          <w:p w:rsidR="00057FA2" w:rsidRPr="00215836" w:rsidRDefault="001B36C6" w:rsidP="001B36C6">
            <w:pPr>
              <w:jc w:val="center"/>
              <w:rPr>
                <w:b/>
                <w:spacing w:val="-2"/>
                <w:sz w:val="21"/>
                <w:szCs w:val="21"/>
              </w:rPr>
            </w:pPr>
            <w:r>
              <w:rPr>
                <w:b/>
                <w:spacing w:val="-2"/>
                <w:sz w:val="21"/>
                <w:szCs w:val="21"/>
              </w:rPr>
              <w:t>918,1</w:t>
            </w:r>
            <w:r w:rsidR="00057FA2" w:rsidRPr="00215836">
              <w:rPr>
                <w:b/>
                <w:spacing w:val="-2"/>
                <w:sz w:val="21"/>
                <w:szCs w:val="21"/>
              </w:rPr>
              <w:t xml:space="preserve"> /</w:t>
            </w:r>
            <w:r>
              <w:rPr>
                <w:b/>
                <w:spacing w:val="-2"/>
                <w:sz w:val="21"/>
                <w:szCs w:val="21"/>
              </w:rPr>
              <w:t xml:space="preserve"> 249,8</w:t>
            </w:r>
            <w:r w:rsidR="00057FA2" w:rsidRPr="00215836">
              <w:rPr>
                <w:b/>
                <w:spacing w:val="-2"/>
                <w:sz w:val="21"/>
                <w:szCs w:val="21"/>
              </w:rPr>
              <w:t>%</w:t>
            </w:r>
          </w:p>
        </w:tc>
      </w:tr>
    </w:tbl>
    <w:p w:rsidR="001B36C6" w:rsidRPr="00F12520" w:rsidRDefault="001B36C6" w:rsidP="001B36C6">
      <w:pPr>
        <w:spacing w:before="80"/>
        <w:ind w:firstLine="567"/>
        <w:jc w:val="both"/>
        <w:rPr>
          <w:bCs/>
          <w:iCs/>
        </w:rPr>
      </w:pPr>
      <w:r>
        <w:rPr>
          <w:bCs/>
          <w:iCs/>
        </w:rPr>
        <w:t>Увеличение поступлений налоговых доходов</w:t>
      </w:r>
      <w:r w:rsidRPr="000B6B29">
        <w:rPr>
          <w:bCs/>
          <w:iCs/>
        </w:rPr>
        <w:t xml:space="preserve"> по отношению к </w:t>
      </w:r>
      <w:r>
        <w:rPr>
          <w:bCs/>
          <w:iCs/>
        </w:rPr>
        <w:t>2014</w:t>
      </w:r>
      <w:r w:rsidRPr="000B6B29">
        <w:rPr>
          <w:bCs/>
          <w:iCs/>
        </w:rPr>
        <w:t xml:space="preserve"> году</w:t>
      </w:r>
      <w:r>
        <w:rPr>
          <w:bCs/>
          <w:iCs/>
        </w:rPr>
        <w:t xml:space="preserve"> связано с включением в состав налоговых доходов акцизов </w:t>
      </w:r>
      <w:r w:rsidRPr="004F03A8">
        <w:rPr>
          <w:bCs/>
          <w:iCs/>
        </w:rPr>
        <w:t>по подакцизным товарам</w:t>
      </w:r>
      <w:r w:rsidRPr="000B6B29">
        <w:rPr>
          <w:bCs/>
          <w:iCs/>
        </w:rPr>
        <w:t>.</w:t>
      </w:r>
    </w:p>
    <w:p w:rsidR="00CA5EBE" w:rsidRPr="00CA5EBE" w:rsidRDefault="00CA5EBE" w:rsidP="00CA5EBE">
      <w:pPr>
        <w:spacing w:before="60"/>
        <w:ind w:firstLine="567"/>
        <w:jc w:val="both"/>
        <w:rPr>
          <w:bCs/>
          <w:i/>
          <w:iCs/>
        </w:rPr>
      </w:pPr>
      <w:r w:rsidRPr="00CA5EBE">
        <w:rPr>
          <w:bCs/>
          <w:i/>
          <w:iCs/>
        </w:rPr>
        <w:t>В пояснительной записке отсутствует объяснение снижению поступлений налога на имущество по отношению к 2014 году.</w:t>
      </w:r>
    </w:p>
    <w:p w:rsidR="00971A90" w:rsidRDefault="00551F5B" w:rsidP="00551F5B">
      <w:pPr>
        <w:spacing w:before="120"/>
        <w:ind w:firstLine="567"/>
        <w:jc w:val="both"/>
      </w:pPr>
      <w:r w:rsidRPr="0042298A">
        <w:rPr>
          <w:b/>
          <w:bCs/>
          <w:iCs/>
        </w:rPr>
        <w:t>Н</w:t>
      </w:r>
      <w:r w:rsidR="001A6010" w:rsidRPr="0042298A">
        <w:rPr>
          <w:b/>
          <w:bCs/>
          <w:iCs/>
        </w:rPr>
        <w:t>ен</w:t>
      </w:r>
      <w:r w:rsidRPr="0042298A">
        <w:rPr>
          <w:b/>
          <w:bCs/>
          <w:iCs/>
        </w:rPr>
        <w:t>алоговые доходы</w:t>
      </w:r>
      <w:r w:rsidRPr="0042298A">
        <w:rPr>
          <w:bCs/>
          <w:iCs/>
        </w:rPr>
        <w:t xml:space="preserve"> местного бюджета за </w:t>
      </w:r>
      <w:r w:rsidR="00057FA2">
        <w:rPr>
          <w:bCs/>
          <w:iCs/>
        </w:rPr>
        <w:t>2015</w:t>
      </w:r>
      <w:r w:rsidRPr="0042298A">
        <w:rPr>
          <w:bCs/>
          <w:iCs/>
        </w:rPr>
        <w:t xml:space="preserve"> год исполнены в объеме </w:t>
      </w:r>
      <w:r w:rsidR="00CA5EBE">
        <w:rPr>
          <w:bCs/>
          <w:iCs/>
        </w:rPr>
        <w:t>72,9</w:t>
      </w:r>
      <w:r w:rsidRPr="0042298A">
        <w:rPr>
          <w:bCs/>
          <w:iCs/>
        </w:rPr>
        <w:t xml:space="preserve"> тыс. руб. или </w:t>
      </w:r>
      <w:r w:rsidR="00CA5EBE">
        <w:rPr>
          <w:bCs/>
          <w:iCs/>
        </w:rPr>
        <w:t>109,5</w:t>
      </w:r>
      <w:r w:rsidRPr="0042298A">
        <w:rPr>
          <w:bCs/>
          <w:iCs/>
        </w:rPr>
        <w:t>% от плановых назначений</w:t>
      </w:r>
      <w:r w:rsidR="00971A90">
        <w:t>.</w:t>
      </w:r>
    </w:p>
    <w:p w:rsidR="00A20F54" w:rsidRDefault="00A20F54" w:rsidP="00A20F54">
      <w:pPr>
        <w:spacing w:before="40"/>
        <w:ind w:firstLine="567"/>
        <w:jc w:val="both"/>
      </w:pPr>
      <w:r w:rsidRPr="0029403D">
        <w:t xml:space="preserve">Подробный анализ поступления </w:t>
      </w:r>
      <w:r>
        <w:t>не</w:t>
      </w:r>
      <w:r w:rsidRPr="0029403D">
        <w:t xml:space="preserve">налоговых доходов представлен в таблице </w:t>
      </w:r>
      <w:r>
        <w:t>2</w:t>
      </w:r>
      <w:r w:rsidRPr="0029403D">
        <w:t>.</w:t>
      </w:r>
    </w:p>
    <w:p w:rsidR="00A20F54" w:rsidRPr="000D210C" w:rsidRDefault="00A20F54" w:rsidP="00A20F54">
      <w:pPr>
        <w:spacing w:before="120" w:after="120"/>
        <w:jc w:val="center"/>
        <w:rPr>
          <w:sz w:val="22"/>
          <w:szCs w:val="22"/>
        </w:rPr>
      </w:pPr>
      <w:r w:rsidRPr="000D210C">
        <w:rPr>
          <w:sz w:val="22"/>
          <w:szCs w:val="22"/>
        </w:rPr>
        <w:t xml:space="preserve">Таблица </w:t>
      </w:r>
      <w:r>
        <w:rPr>
          <w:sz w:val="22"/>
          <w:szCs w:val="22"/>
        </w:rPr>
        <w:t>2</w:t>
      </w:r>
      <w:r w:rsidRPr="000D210C">
        <w:rPr>
          <w:sz w:val="22"/>
          <w:szCs w:val="22"/>
        </w:rPr>
        <w:t xml:space="preserve">. Структура и динамика поступления </w:t>
      </w:r>
      <w:r>
        <w:rPr>
          <w:sz w:val="22"/>
          <w:szCs w:val="22"/>
        </w:rPr>
        <w:t>не</w:t>
      </w:r>
      <w:r w:rsidRPr="000D210C">
        <w:rPr>
          <w:sz w:val="22"/>
          <w:szCs w:val="22"/>
        </w:rPr>
        <w:t>налоговых доходов местного бюджета, тыс. руб.</w:t>
      </w:r>
    </w:p>
    <w:tbl>
      <w:tblPr>
        <w:tblW w:w="97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3"/>
        <w:gridCol w:w="737"/>
        <w:gridCol w:w="737"/>
        <w:gridCol w:w="737"/>
        <w:gridCol w:w="794"/>
        <w:gridCol w:w="794"/>
        <w:gridCol w:w="794"/>
        <w:gridCol w:w="1531"/>
        <w:gridCol w:w="1474"/>
      </w:tblGrid>
      <w:tr w:rsidR="00A20F54" w:rsidRPr="0029403D" w:rsidTr="00837BFB">
        <w:trPr>
          <w:trHeight w:val="528"/>
        </w:trPr>
        <w:tc>
          <w:tcPr>
            <w:tcW w:w="2103" w:type="dxa"/>
            <w:vMerge w:val="restart"/>
            <w:vAlign w:val="center"/>
          </w:tcPr>
          <w:p w:rsidR="00A20F54" w:rsidRPr="0029403D" w:rsidRDefault="00A20F54" w:rsidP="00A20F54">
            <w:pPr>
              <w:rPr>
                <w:i/>
                <w:sz w:val="20"/>
                <w:szCs w:val="20"/>
              </w:rPr>
            </w:pPr>
            <w:r w:rsidRPr="0029403D">
              <w:rPr>
                <w:i/>
                <w:sz w:val="20"/>
                <w:szCs w:val="20"/>
              </w:rPr>
              <w:t>Наименования дохода</w:t>
            </w:r>
          </w:p>
        </w:tc>
        <w:tc>
          <w:tcPr>
            <w:tcW w:w="2211" w:type="dxa"/>
            <w:gridSpan w:val="3"/>
            <w:vAlign w:val="center"/>
          </w:tcPr>
          <w:p w:rsidR="00A20F54" w:rsidRPr="0029403D" w:rsidRDefault="00A20F54" w:rsidP="00A20F54">
            <w:pPr>
              <w:jc w:val="center"/>
              <w:rPr>
                <w:i/>
                <w:sz w:val="20"/>
                <w:szCs w:val="20"/>
              </w:rPr>
            </w:pPr>
            <w:r w:rsidRPr="0029403D">
              <w:rPr>
                <w:i/>
                <w:sz w:val="20"/>
                <w:szCs w:val="20"/>
              </w:rPr>
              <w:t>Исполнение бюджета</w:t>
            </w:r>
          </w:p>
        </w:tc>
        <w:tc>
          <w:tcPr>
            <w:tcW w:w="2382" w:type="dxa"/>
            <w:gridSpan w:val="3"/>
          </w:tcPr>
          <w:p w:rsidR="00A20F54" w:rsidRPr="0029403D" w:rsidRDefault="00A20F54" w:rsidP="00A20F54">
            <w:pPr>
              <w:spacing w:before="40"/>
              <w:jc w:val="center"/>
              <w:rPr>
                <w:i/>
                <w:sz w:val="20"/>
                <w:szCs w:val="20"/>
              </w:rPr>
            </w:pPr>
            <w:r w:rsidRPr="0029403D">
              <w:rPr>
                <w:i/>
                <w:sz w:val="20"/>
                <w:szCs w:val="20"/>
              </w:rPr>
              <w:t xml:space="preserve">Доля в общем объёме </w:t>
            </w:r>
            <w:r>
              <w:rPr>
                <w:i/>
                <w:sz w:val="20"/>
                <w:szCs w:val="20"/>
              </w:rPr>
              <w:t>не</w:t>
            </w:r>
            <w:r w:rsidRPr="0029403D">
              <w:rPr>
                <w:i/>
                <w:sz w:val="20"/>
                <w:szCs w:val="20"/>
              </w:rPr>
              <w:t>налоговых доходов</w:t>
            </w:r>
          </w:p>
        </w:tc>
        <w:tc>
          <w:tcPr>
            <w:tcW w:w="3005" w:type="dxa"/>
            <w:gridSpan w:val="2"/>
            <w:vAlign w:val="center"/>
          </w:tcPr>
          <w:p w:rsidR="00A20F54" w:rsidRPr="0029403D" w:rsidRDefault="00A20F54" w:rsidP="00A20F54">
            <w:pPr>
              <w:jc w:val="center"/>
              <w:rPr>
                <w:i/>
                <w:sz w:val="20"/>
                <w:szCs w:val="20"/>
              </w:rPr>
            </w:pPr>
            <w:r w:rsidRPr="0029403D">
              <w:rPr>
                <w:i/>
                <w:sz w:val="20"/>
                <w:szCs w:val="20"/>
              </w:rPr>
              <w:t>Абсолютный прирост (тыс. руб./проценты)</w:t>
            </w:r>
          </w:p>
        </w:tc>
      </w:tr>
      <w:tr w:rsidR="00A20F54" w:rsidRPr="0029403D" w:rsidTr="00837BFB">
        <w:trPr>
          <w:trHeight w:val="301"/>
        </w:trPr>
        <w:tc>
          <w:tcPr>
            <w:tcW w:w="2103" w:type="dxa"/>
            <w:vMerge/>
            <w:vAlign w:val="center"/>
          </w:tcPr>
          <w:p w:rsidR="00A20F54" w:rsidRPr="0029403D" w:rsidRDefault="00A20F54" w:rsidP="00A20F54">
            <w:pPr>
              <w:rPr>
                <w:i/>
                <w:sz w:val="20"/>
                <w:szCs w:val="20"/>
              </w:rPr>
            </w:pPr>
          </w:p>
        </w:tc>
        <w:tc>
          <w:tcPr>
            <w:tcW w:w="737" w:type="dxa"/>
            <w:vAlign w:val="center"/>
          </w:tcPr>
          <w:p w:rsidR="00A20F54" w:rsidRPr="0029403D" w:rsidRDefault="00057FA2" w:rsidP="00A20F54">
            <w:pPr>
              <w:jc w:val="center"/>
              <w:rPr>
                <w:i/>
                <w:sz w:val="20"/>
                <w:szCs w:val="20"/>
              </w:rPr>
            </w:pPr>
            <w:r>
              <w:rPr>
                <w:i/>
                <w:sz w:val="20"/>
                <w:szCs w:val="20"/>
              </w:rPr>
              <w:t>2013</w:t>
            </w:r>
          </w:p>
        </w:tc>
        <w:tc>
          <w:tcPr>
            <w:tcW w:w="737" w:type="dxa"/>
            <w:vAlign w:val="center"/>
          </w:tcPr>
          <w:p w:rsidR="00A20F54" w:rsidRPr="0029403D" w:rsidRDefault="00057FA2" w:rsidP="00A20F54">
            <w:pPr>
              <w:jc w:val="center"/>
              <w:rPr>
                <w:i/>
                <w:sz w:val="20"/>
                <w:szCs w:val="20"/>
              </w:rPr>
            </w:pPr>
            <w:r>
              <w:rPr>
                <w:i/>
                <w:sz w:val="20"/>
                <w:szCs w:val="20"/>
              </w:rPr>
              <w:t>2014</w:t>
            </w:r>
          </w:p>
        </w:tc>
        <w:tc>
          <w:tcPr>
            <w:tcW w:w="737" w:type="dxa"/>
            <w:vAlign w:val="center"/>
          </w:tcPr>
          <w:p w:rsidR="00A20F54" w:rsidRPr="0029403D" w:rsidRDefault="00057FA2" w:rsidP="00A20F54">
            <w:pPr>
              <w:jc w:val="center"/>
              <w:rPr>
                <w:i/>
                <w:sz w:val="20"/>
                <w:szCs w:val="20"/>
              </w:rPr>
            </w:pPr>
            <w:r>
              <w:rPr>
                <w:i/>
                <w:sz w:val="20"/>
                <w:szCs w:val="20"/>
              </w:rPr>
              <w:t>2015</w:t>
            </w:r>
          </w:p>
        </w:tc>
        <w:tc>
          <w:tcPr>
            <w:tcW w:w="794" w:type="dxa"/>
            <w:vAlign w:val="center"/>
          </w:tcPr>
          <w:p w:rsidR="00A20F54" w:rsidRPr="0029403D" w:rsidRDefault="00057FA2" w:rsidP="00A20F54">
            <w:pPr>
              <w:jc w:val="center"/>
              <w:rPr>
                <w:i/>
                <w:sz w:val="20"/>
                <w:szCs w:val="20"/>
              </w:rPr>
            </w:pPr>
            <w:r>
              <w:rPr>
                <w:i/>
                <w:sz w:val="20"/>
                <w:szCs w:val="20"/>
              </w:rPr>
              <w:t>2013</w:t>
            </w:r>
          </w:p>
        </w:tc>
        <w:tc>
          <w:tcPr>
            <w:tcW w:w="794" w:type="dxa"/>
            <w:vAlign w:val="center"/>
          </w:tcPr>
          <w:p w:rsidR="00A20F54" w:rsidRPr="0029403D" w:rsidRDefault="00057FA2" w:rsidP="00A20F54">
            <w:pPr>
              <w:jc w:val="center"/>
              <w:rPr>
                <w:i/>
                <w:sz w:val="20"/>
                <w:szCs w:val="20"/>
              </w:rPr>
            </w:pPr>
            <w:r>
              <w:rPr>
                <w:i/>
                <w:sz w:val="20"/>
                <w:szCs w:val="20"/>
              </w:rPr>
              <w:t>2014</w:t>
            </w:r>
          </w:p>
        </w:tc>
        <w:tc>
          <w:tcPr>
            <w:tcW w:w="794" w:type="dxa"/>
            <w:vAlign w:val="center"/>
          </w:tcPr>
          <w:p w:rsidR="00A20F54" w:rsidRPr="0029403D" w:rsidRDefault="00057FA2" w:rsidP="00A20F54">
            <w:pPr>
              <w:jc w:val="center"/>
              <w:rPr>
                <w:i/>
                <w:sz w:val="20"/>
                <w:szCs w:val="20"/>
              </w:rPr>
            </w:pPr>
            <w:r>
              <w:rPr>
                <w:i/>
                <w:sz w:val="20"/>
                <w:szCs w:val="20"/>
              </w:rPr>
              <w:t>2015</w:t>
            </w:r>
          </w:p>
        </w:tc>
        <w:tc>
          <w:tcPr>
            <w:tcW w:w="1531" w:type="dxa"/>
            <w:vAlign w:val="center"/>
          </w:tcPr>
          <w:p w:rsidR="00A20F54" w:rsidRPr="0029403D" w:rsidRDefault="00057FA2" w:rsidP="00A20F54">
            <w:pPr>
              <w:jc w:val="center"/>
              <w:rPr>
                <w:i/>
                <w:sz w:val="20"/>
                <w:szCs w:val="20"/>
              </w:rPr>
            </w:pPr>
            <w:r>
              <w:rPr>
                <w:i/>
                <w:sz w:val="20"/>
                <w:szCs w:val="20"/>
              </w:rPr>
              <w:t>2014</w:t>
            </w:r>
            <w:r w:rsidR="00A20F54">
              <w:rPr>
                <w:i/>
                <w:sz w:val="20"/>
                <w:szCs w:val="20"/>
              </w:rPr>
              <w:t xml:space="preserve"> к </w:t>
            </w:r>
            <w:r>
              <w:rPr>
                <w:i/>
                <w:sz w:val="20"/>
                <w:szCs w:val="20"/>
              </w:rPr>
              <w:t>2013</w:t>
            </w:r>
          </w:p>
        </w:tc>
        <w:tc>
          <w:tcPr>
            <w:tcW w:w="1474" w:type="dxa"/>
            <w:vAlign w:val="center"/>
          </w:tcPr>
          <w:p w:rsidR="00A20F54" w:rsidRPr="0029403D" w:rsidRDefault="00057FA2" w:rsidP="00A20F54">
            <w:pPr>
              <w:jc w:val="center"/>
              <w:rPr>
                <w:i/>
                <w:sz w:val="20"/>
                <w:szCs w:val="20"/>
              </w:rPr>
            </w:pPr>
            <w:r>
              <w:rPr>
                <w:i/>
                <w:sz w:val="20"/>
                <w:szCs w:val="20"/>
              </w:rPr>
              <w:t>2015</w:t>
            </w:r>
            <w:r w:rsidR="00A20F54">
              <w:rPr>
                <w:i/>
                <w:sz w:val="20"/>
                <w:szCs w:val="20"/>
              </w:rPr>
              <w:t xml:space="preserve"> к </w:t>
            </w:r>
            <w:r>
              <w:rPr>
                <w:i/>
                <w:sz w:val="20"/>
                <w:szCs w:val="20"/>
              </w:rPr>
              <w:t>2014</w:t>
            </w:r>
          </w:p>
        </w:tc>
      </w:tr>
      <w:tr w:rsidR="00057FA2" w:rsidRPr="00D452D7" w:rsidTr="00837BFB">
        <w:trPr>
          <w:trHeight w:val="109"/>
        </w:trPr>
        <w:tc>
          <w:tcPr>
            <w:tcW w:w="2103" w:type="dxa"/>
            <w:vAlign w:val="center"/>
          </w:tcPr>
          <w:p w:rsidR="00057FA2" w:rsidRPr="00D452D7" w:rsidRDefault="00057FA2" w:rsidP="009912AC">
            <w:pPr>
              <w:spacing w:before="40" w:after="40"/>
              <w:rPr>
                <w:sz w:val="22"/>
                <w:szCs w:val="22"/>
              </w:rPr>
            </w:pPr>
            <w:r>
              <w:rPr>
                <w:sz w:val="22"/>
                <w:szCs w:val="22"/>
              </w:rPr>
              <w:t>Аренда земли</w:t>
            </w:r>
          </w:p>
        </w:tc>
        <w:tc>
          <w:tcPr>
            <w:tcW w:w="737" w:type="dxa"/>
            <w:vAlign w:val="center"/>
          </w:tcPr>
          <w:p w:rsidR="00057FA2" w:rsidRPr="00F12520" w:rsidRDefault="00057FA2" w:rsidP="00057FA2">
            <w:pPr>
              <w:spacing w:before="40" w:after="40"/>
              <w:jc w:val="center"/>
              <w:rPr>
                <w:sz w:val="22"/>
                <w:szCs w:val="22"/>
              </w:rPr>
            </w:pPr>
            <w:r>
              <w:rPr>
                <w:sz w:val="22"/>
                <w:szCs w:val="22"/>
              </w:rPr>
              <w:t>16,5</w:t>
            </w:r>
          </w:p>
        </w:tc>
        <w:tc>
          <w:tcPr>
            <w:tcW w:w="737" w:type="dxa"/>
            <w:vAlign w:val="center"/>
          </w:tcPr>
          <w:p w:rsidR="00057FA2" w:rsidRPr="00F12520" w:rsidRDefault="00057FA2" w:rsidP="00057FA2">
            <w:pPr>
              <w:spacing w:before="40" w:after="40"/>
              <w:jc w:val="center"/>
              <w:rPr>
                <w:sz w:val="22"/>
                <w:szCs w:val="22"/>
              </w:rPr>
            </w:pPr>
            <w:r>
              <w:rPr>
                <w:sz w:val="22"/>
                <w:szCs w:val="22"/>
              </w:rPr>
              <w:t>19,0</w:t>
            </w:r>
          </w:p>
        </w:tc>
        <w:tc>
          <w:tcPr>
            <w:tcW w:w="737" w:type="dxa"/>
            <w:vAlign w:val="center"/>
          </w:tcPr>
          <w:p w:rsidR="00057FA2" w:rsidRPr="00F12520" w:rsidRDefault="00057FA2" w:rsidP="009912AC">
            <w:pPr>
              <w:spacing w:before="40" w:after="40"/>
              <w:jc w:val="center"/>
              <w:rPr>
                <w:sz w:val="22"/>
                <w:szCs w:val="22"/>
              </w:rPr>
            </w:pPr>
          </w:p>
        </w:tc>
        <w:tc>
          <w:tcPr>
            <w:tcW w:w="794" w:type="dxa"/>
            <w:vAlign w:val="center"/>
          </w:tcPr>
          <w:p w:rsidR="00057FA2" w:rsidRPr="00F12520" w:rsidRDefault="00057FA2" w:rsidP="00057FA2">
            <w:pPr>
              <w:spacing w:before="40" w:after="40"/>
              <w:jc w:val="center"/>
              <w:rPr>
                <w:sz w:val="22"/>
                <w:szCs w:val="22"/>
              </w:rPr>
            </w:pPr>
            <w:r>
              <w:rPr>
                <w:sz w:val="22"/>
                <w:szCs w:val="22"/>
              </w:rPr>
              <w:t>7,0%</w:t>
            </w:r>
          </w:p>
        </w:tc>
        <w:tc>
          <w:tcPr>
            <w:tcW w:w="794" w:type="dxa"/>
            <w:vAlign w:val="center"/>
          </w:tcPr>
          <w:p w:rsidR="00057FA2" w:rsidRPr="00F12520" w:rsidRDefault="00057FA2" w:rsidP="00057FA2">
            <w:pPr>
              <w:spacing w:before="40" w:after="40"/>
              <w:jc w:val="center"/>
              <w:rPr>
                <w:sz w:val="22"/>
                <w:szCs w:val="22"/>
              </w:rPr>
            </w:pPr>
            <w:r>
              <w:rPr>
                <w:sz w:val="22"/>
                <w:szCs w:val="22"/>
              </w:rPr>
              <w:t>20,1%</w:t>
            </w:r>
          </w:p>
        </w:tc>
        <w:tc>
          <w:tcPr>
            <w:tcW w:w="794" w:type="dxa"/>
            <w:vAlign w:val="center"/>
          </w:tcPr>
          <w:p w:rsidR="00057FA2" w:rsidRPr="00F12520" w:rsidRDefault="00057FA2" w:rsidP="001B36C6">
            <w:pPr>
              <w:spacing w:before="40" w:after="40"/>
              <w:rPr>
                <w:sz w:val="22"/>
                <w:szCs w:val="22"/>
              </w:rPr>
            </w:pPr>
          </w:p>
        </w:tc>
        <w:tc>
          <w:tcPr>
            <w:tcW w:w="1531" w:type="dxa"/>
            <w:vAlign w:val="center"/>
          </w:tcPr>
          <w:p w:rsidR="00057FA2" w:rsidRPr="00057FA2" w:rsidRDefault="00057FA2" w:rsidP="00057FA2">
            <w:pPr>
              <w:spacing w:before="40" w:after="40"/>
              <w:jc w:val="center"/>
              <w:rPr>
                <w:sz w:val="21"/>
                <w:szCs w:val="21"/>
              </w:rPr>
            </w:pPr>
            <w:r w:rsidRPr="00057FA2">
              <w:rPr>
                <w:sz w:val="21"/>
                <w:szCs w:val="21"/>
              </w:rPr>
              <w:t>2,5 / 15,2%</w:t>
            </w:r>
          </w:p>
        </w:tc>
        <w:tc>
          <w:tcPr>
            <w:tcW w:w="1474" w:type="dxa"/>
            <w:vAlign w:val="center"/>
          </w:tcPr>
          <w:p w:rsidR="00057FA2" w:rsidRPr="00057FA2" w:rsidRDefault="00057FA2" w:rsidP="009912AC">
            <w:pPr>
              <w:spacing w:before="40" w:after="40"/>
              <w:jc w:val="center"/>
              <w:rPr>
                <w:sz w:val="21"/>
                <w:szCs w:val="21"/>
              </w:rPr>
            </w:pPr>
          </w:p>
        </w:tc>
      </w:tr>
      <w:tr w:rsidR="00057FA2" w:rsidRPr="00D452D7" w:rsidTr="00837BFB">
        <w:trPr>
          <w:trHeight w:val="127"/>
        </w:trPr>
        <w:tc>
          <w:tcPr>
            <w:tcW w:w="2103" w:type="dxa"/>
            <w:vAlign w:val="center"/>
          </w:tcPr>
          <w:p w:rsidR="00057FA2" w:rsidRPr="00D452D7" w:rsidRDefault="00057FA2" w:rsidP="009912AC">
            <w:pPr>
              <w:spacing w:before="40" w:after="40"/>
              <w:rPr>
                <w:sz w:val="22"/>
                <w:szCs w:val="22"/>
              </w:rPr>
            </w:pPr>
            <w:r>
              <w:rPr>
                <w:sz w:val="22"/>
                <w:szCs w:val="22"/>
              </w:rPr>
              <w:t>Аренда имущества</w:t>
            </w:r>
          </w:p>
        </w:tc>
        <w:tc>
          <w:tcPr>
            <w:tcW w:w="737" w:type="dxa"/>
            <w:vAlign w:val="center"/>
          </w:tcPr>
          <w:p w:rsidR="00057FA2" w:rsidRPr="00F12520" w:rsidRDefault="00057FA2" w:rsidP="00057FA2">
            <w:pPr>
              <w:spacing w:before="40" w:after="40"/>
              <w:jc w:val="center"/>
              <w:rPr>
                <w:sz w:val="22"/>
                <w:szCs w:val="22"/>
              </w:rPr>
            </w:pPr>
            <w:r>
              <w:rPr>
                <w:sz w:val="22"/>
                <w:szCs w:val="22"/>
              </w:rPr>
              <w:t>29,3</w:t>
            </w:r>
          </w:p>
        </w:tc>
        <w:tc>
          <w:tcPr>
            <w:tcW w:w="737" w:type="dxa"/>
            <w:vAlign w:val="center"/>
          </w:tcPr>
          <w:p w:rsidR="00057FA2" w:rsidRPr="00F12520" w:rsidRDefault="00057FA2" w:rsidP="00057FA2">
            <w:pPr>
              <w:spacing w:before="40" w:after="40"/>
              <w:jc w:val="center"/>
              <w:rPr>
                <w:sz w:val="22"/>
                <w:szCs w:val="22"/>
              </w:rPr>
            </w:pPr>
            <w:r>
              <w:rPr>
                <w:sz w:val="22"/>
                <w:szCs w:val="22"/>
              </w:rPr>
              <w:t>28,8</w:t>
            </w:r>
          </w:p>
        </w:tc>
        <w:tc>
          <w:tcPr>
            <w:tcW w:w="737" w:type="dxa"/>
            <w:vAlign w:val="center"/>
          </w:tcPr>
          <w:p w:rsidR="00057FA2" w:rsidRPr="00F12520" w:rsidRDefault="001B36C6" w:rsidP="009912AC">
            <w:pPr>
              <w:spacing w:before="40" w:after="40"/>
              <w:jc w:val="center"/>
              <w:rPr>
                <w:sz w:val="22"/>
                <w:szCs w:val="22"/>
              </w:rPr>
            </w:pPr>
            <w:r>
              <w:rPr>
                <w:sz w:val="22"/>
                <w:szCs w:val="22"/>
              </w:rPr>
              <w:t>28,8</w:t>
            </w:r>
          </w:p>
        </w:tc>
        <w:tc>
          <w:tcPr>
            <w:tcW w:w="794" w:type="dxa"/>
            <w:vAlign w:val="center"/>
          </w:tcPr>
          <w:p w:rsidR="00057FA2" w:rsidRPr="00F12520" w:rsidRDefault="00057FA2" w:rsidP="00057FA2">
            <w:pPr>
              <w:spacing w:before="40" w:after="40"/>
              <w:jc w:val="center"/>
              <w:rPr>
                <w:sz w:val="22"/>
                <w:szCs w:val="22"/>
              </w:rPr>
            </w:pPr>
            <w:r>
              <w:rPr>
                <w:sz w:val="22"/>
                <w:szCs w:val="22"/>
              </w:rPr>
              <w:t>12,4%</w:t>
            </w:r>
          </w:p>
        </w:tc>
        <w:tc>
          <w:tcPr>
            <w:tcW w:w="794" w:type="dxa"/>
            <w:vAlign w:val="center"/>
          </w:tcPr>
          <w:p w:rsidR="00057FA2" w:rsidRPr="00F12520" w:rsidRDefault="00057FA2" w:rsidP="00057FA2">
            <w:pPr>
              <w:spacing w:before="40" w:after="40"/>
              <w:jc w:val="center"/>
              <w:rPr>
                <w:sz w:val="22"/>
                <w:szCs w:val="22"/>
              </w:rPr>
            </w:pPr>
            <w:r>
              <w:rPr>
                <w:sz w:val="22"/>
                <w:szCs w:val="22"/>
              </w:rPr>
              <w:t>30,5%</w:t>
            </w:r>
          </w:p>
        </w:tc>
        <w:tc>
          <w:tcPr>
            <w:tcW w:w="794" w:type="dxa"/>
            <w:vAlign w:val="center"/>
          </w:tcPr>
          <w:p w:rsidR="00057FA2" w:rsidRPr="00F12520" w:rsidRDefault="001B36C6" w:rsidP="009912AC">
            <w:pPr>
              <w:spacing w:before="40" w:after="40"/>
              <w:jc w:val="center"/>
              <w:rPr>
                <w:sz w:val="22"/>
                <w:szCs w:val="22"/>
              </w:rPr>
            </w:pPr>
            <w:r>
              <w:rPr>
                <w:sz w:val="22"/>
                <w:szCs w:val="22"/>
              </w:rPr>
              <w:t>39,5%</w:t>
            </w:r>
          </w:p>
        </w:tc>
        <w:tc>
          <w:tcPr>
            <w:tcW w:w="1531" w:type="dxa"/>
            <w:vAlign w:val="center"/>
          </w:tcPr>
          <w:p w:rsidR="00057FA2" w:rsidRPr="00057FA2" w:rsidRDefault="00057FA2" w:rsidP="00057FA2">
            <w:pPr>
              <w:spacing w:before="40" w:after="40"/>
              <w:jc w:val="center"/>
              <w:rPr>
                <w:sz w:val="21"/>
                <w:szCs w:val="21"/>
              </w:rPr>
            </w:pPr>
            <w:r w:rsidRPr="00057FA2">
              <w:rPr>
                <w:sz w:val="21"/>
                <w:szCs w:val="21"/>
              </w:rPr>
              <w:t>-0,5 / -1,7%</w:t>
            </w:r>
          </w:p>
        </w:tc>
        <w:tc>
          <w:tcPr>
            <w:tcW w:w="1474" w:type="dxa"/>
            <w:vAlign w:val="center"/>
          </w:tcPr>
          <w:p w:rsidR="00057FA2" w:rsidRPr="00057FA2" w:rsidRDefault="00057FA2" w:rsidP="009912AC">
            <w:pPr>
              <w:spacing w:before="40" w:after="40"/>
              <w:jc w:val="center"/>
              <w:rPr>
                <w:sz w:val="21"/>
                <w:szCs w:val="21"/>
              </w:rPr>
            </w:pPr>
          </w:p>
        </w:tc>
      </w:tr>
      <w:tr w:rsidR="00057FA2" w:rsidRPr="00D452D7" w:rsidTr="00837BFB">
        <w:tc>
          <w:tcPr>
            <w:tcW w:w="2103" w:type="dxa"/>
          </w:tcPr>
          <w:p w:rsidR="00057FA2" w:rsidRPr="00D452D7" w:rsidRDefault="00057FA2" w:rsidP="009912AC">
            <w:pPr>
              <w:spacing w:before="40" w:after="40"/>
              <w:rPr>
                <w:sz w:val="22"/>
                <w:szCs w:val="22"/>
              </w:rPr>
            </w:pPr>
            <w:r>
              <w:rPr>
                <w:sz w:val="22"/>
                <w:szCs w:val="22"/>
              </w:rPr>
              <w:t>Платные услуги</w:t>
            </w:r>
          </w:p>
        </w:tc>
        <w:tc>
          <w:tcPr>
            <w:tcW w:w="737" w:type="dxa"/>
            <w:vAlign w:val="center"/>
          </w:tcPr>
          <w:p w:rsidR="00057FA2" w:rsidRPr="00F12520" w:rsidRDefault="00057FA2" w:rsidP="00057FA2">
            <w:pPr>
              <w:spacing w:before="40" w:after="40"/>
              <w:jc w:val="center"/>
              <w:rPr>
                <w:sz w:val="22"/>
                <w:szCs w:val="22"/>
              </w:rPr>
            </w:pPr>
            <w:r>
              <w:rPr>
                <w:sz w:val="22"/>
                <w:szCs w:val="22"/>
              </w:rPr>
              <w:t>7,0</w:t>
            </w:r>
          </w:p>
        </w:tc>
        <w:tc>
          <w:tcPr>
            <w:tcW w:w="737" w:type="dxa"/>
            <w:vAlign w:val="center"/>
          </w:tcPr>
          <w:p w:rsidR="00057FA2" w:rsidRPr="00F12520" w:rsidRDefault="00057FA2" w:rsidP="00057FA2">
            <w:pPr>
              <w:spacing w:before="40" w:after="40"/>
              <w:jc w:val="center"/>
              <w:rPr>
                <w:sz w:val="22"/>
                <w:szCs w:val="22"/>
              </w:rPr>
            </w:pPr>
            <w:r>
              <w:rPr>
                <w:sz w:val="22"/>
                <w:szCs w:val="22"/>
              </w:rPr>
              <w:t>3,4</w:t>
            </w:r>
          </w:p>
        </w:tc>
        <w:tc>
          <w:tcPr>
            <w:tcW w:w="737" w:type="dxa"/>
            <w:vAlign w:val="center"/>
          </w:tcPr>
          <w:p w:rsidR="00057FA2" w:rsidRPr="00F12520" w:rsidRDefault="001B36C6" w:rsidP="009912AC">
            <w:pPr>
              <w:spacing w:before="40" w:after="40"/>
              <w:jc w:val="center"/>
              <w:rPr>
                <w:sz w:val="22"/>
                <w:szCs w:val="22"/>
              </w:rPr>
            </w:pPr>
            <w:r>
              <w:rPr>
                <w:sz w:val="22"/>
                <w:szCs w:val="22"/>
              </w:rPr>
              <w:t>2,3</w:t>
            </w:r>
          </w:p>
        </w:tc>
        <w:tc>
          <w:tcPr>
            <w:tcW w:w="794" w:type="dxa"/>
            <w:vAlign w:val="center"/>
          </w:tcPr>
          <w:p w:rsidR="00057FA2" w:rsidRPr="00F12520" w:rsidRDefault="00057FA2" w:rsidP="00057FA2">
            <w:pPr>
              <w:spacing w:before="40" w:after="40"/>
              <w:jc w:val="center"/>
              <w:rPr>
                <w:sz w:val="22"/>
                <w:szCs w:val="22"/>
              </w:rPr>
            </w:pPr>
            <w:r>
              <w:rPr>
                <w:sz w:val="22"/>
                <w:szCs w:val="22"/>
              </w:rPr>
              <w:t>3,0%</w:t>
            </w:r>
          </w:p>
        </w:tc>
        <w:tc>
          <w:tcPr>
            <w:tcW w:w="794" w:type="dxa"/>
            <w:vAlign w:val="center"/>
          </w:tcPr>
          <w:p w:rsidR="00057FA2" w:rsidRPr="00F12520" w:rsidRDefault="00057FA2" w:rsidP="00057FA2">
            <w:pPr>
              <w:spacing w:before="40" w:after="40"/>
              <w:jc w:val="center"/>
              <w:rPr>
                <w:sz w:val="22"/>
                <w:szCs w:val="22"/>
              </w:rPr>
            </w:pPr>
            <w:r>
              <w:rPr>
                <w:sz w:val="22"/>
                <w:szCs w:val="22"/>
              </w:rPr>
              <w:t>3,6%</w:t>
            </w:r>
          </w:p>
        </w:tc>
        <w:tc>
          <w:tcPr>
            <w:tcW w:w="794" w:type="dxa"/>
            <w:vAlign w:val="center"/>
          </w:tcPr>
          <w:p w:rsidR="00057FA2" w:rsidRPr="00F12520" w:rsidRDefault="001B36C6" w:rsidP="009912AC">
            <w:pPr>
              <w:spacing w:before="40" w:after="40"/>
              <w:jc w:val="center"/>
              <w:rPr>
                <w:sz w:val="22"/>
                <w:szCs w:val="22"/>
              </w:rPr>
            </w:pPr>
            <w:r>
              <w:rPr>
                <w:sz w:val="22"/>
                <w:szCs w:val="22"/>
              </w:rPr>
              <w:t>3,2%</w:t>
            </w:r>
          </w:p>
        </w:tc>
        <w:tc>
          <w:tcPr>
            <w:tcW w:w="1531" w:type="dxa"/>
            <w:vAlign w:val="center"/>
          </w:tcPr>
          <w:p w:rsidR="00057FA2" w:rsidRPr="00057FA2" w:rsidRDefault="00057FA2" w:rsidP="00057FA2">
            <w:pPr>
              <w:spacing w:before="40" w:after="40"/>
              <w:jc w:val="center"/>
              <w:rPr>
                <w:sz w:val="21"/>
                <w:szCs w:val="21"/>
              </w:rPr>
            </w:pPr>
            <w:r w:rsidRPr="00057FA2">
              <w:rPr>
                <w:sz w:val="21"/>
                <w:szCs w:val="21"/>
              </w:rPr>
              <w:t>-3,6 / -51,4%</w:t>
            </w:r>
          </w:p>
        </w:tc>
        <w:tc>
          <w:tcPr>
            <w:tcW w:w="1474" w:type="dxa"/>
            <w:vAlign w:val="center"/>
          </w:tcPr>
          <w:p w:rsidR="00057FA2" w:rsidRPr="00057FA2" w:rsidRDefault="00057FA2" w:rsidP="001B36C6">
            <w:pPr>
              <w:spacing w:before="40" w:after="40"/>
              <w:jc w:val="center"/>
              <w:rPr>
                <w:sz w:val="21"/>
                <w:szCs w:val="21"/>
              </w:rPr>
            </w:pPr>
            <w:r w:rsidRPr="00057FA2">
              <w:rPr>
                <w:sz w:val="21"/>
                <w:szCs w:val="21"/>
              </w:rPr>
              <w:t>-</w:t>
            </w:r>
            <w:r w:rsidR="001B36C6">
              <w:rPr>
                <w:sz w:val="21"/>
                <w:szCs w:val="21"/>
              </w:rPr>
              <w:t>1,1</w:t>
            </w:r>
            <w:r w:rsidRPr="00057FA2">
              <w:rPr>
                <w:sz w:val="21"/>
                <w:szCs w:val="21"/>
              </w:rPr>
              <w:t xml:space="preserve"> / -</w:t>
            </w:r>
            <w:r w:rsidR="001B36C6">
              <w:rPr>
                <w:sz w:val="21"/>
                <w:szCs w:val="21"/>
              </w:rPr>
              <w:t>32</w:t>
            </w:r>
            <w:r w:rsidRPr="00057FA2">
              <w:rPr>
                <w:sz w:val="21"/>
                <w:szCs w:val="21"/>
              </w:rPr>
              <w:t>,4%</w:t>
            </w:r>
          </w:p>
        </w:tc>
      </w:tr>
      <w:tr w:rsidR="00057FA2" w:rsidRPr="00D452D7" w:rsidTr="00837BFB">
        <w:tc>
          <w:tcPr>
            <w:tcW w:w="2103" w:type="dxa"/>
          </w:tcPr>
          <w:p w:rsidR="00057FA2" w:rsidRPr="00D452D7" w:rsidRDefault="00057FA2" w:rsidP="009912AC">
            <w:pPr>
              <w:spacing w:before="40" w:after="40"/>
              <w:rPr>
                <w:sz w:val="22"/>
                <w:szCs w:val="22"/>
              </w:rPr>
            </w:pPr>
            <w:r>
              <w:rPr>
                <w:sz w:val="22"/>
                <w:szCs w:val="22"/>
              </w:rPr>
              <w:t>Возмещение затрат</w:t>
            </w:r>
          </w:p>
        </w:tc>
        <w:tc>
          <w:tcPr>
            <w:tcW w:w="737" w:type="dxa"/>
            <w:vAlign w:val="center"/>
          </w:tcPr>
          <w:p w:rsidR="00057FA2" w:rsidRPr="00F12520" w:rsidRDefault="00057FA2" w:rsidP="00057FA2">
            <w:pPr>
              <w:spacing w:before="40" w:after="40"/>
              <w:jc w:val="center"/>
              <w:rPr>
                <w:sz w:val="22"/>
                <w:szCs w:val="22"/>
              </w:rPr>
            </w:pPr>
            <w:r>
              <w:rPr>
                <w:sz w:val="22"/>
                <w:szCs w:val="22"/>
              </w:rPr>
              <w:t>183,9</w:t>
            </w:r>
          </w:p>
        </w:tc>
        <w:tc>
          <w:tcPr>
            <w:tcW w:w="737" w:type="dxa"/>
            <w:vAlign w:val="center"/>
          </w:tcPr>
          <w:p w:rsidR="00057FA2" w:rsidRPr="00F12520" w:rsidRDefault="00057FA2" w:rsidP="00057FA2">
            <w:pPr>
              <w:spacing w:before="40" w:after="40"/>
              <w:jc w:val="center"/>
              <w:rPr>
                <w:sz w:val="22"/>
                <w:szCs w:val="22"/>
              </w:rPr>
            </w:pPr>
            <w:r>
              <w:rPr>
                <w:sz w:val="22"/>
                <w:szCs w:val="22"/>
              </w:rPr>
              <w:t>43,1</w:t>
            </w:r>
          </w:p>
        </w:tc>
        <w:tc>
          <w:tcPr>
            <w:tcW w:w="737" w:type="dxa"/>
            <w:vAlign w:val="center"/>
          </w:tcPr>
          <w:p w:rsidR="00057FA2" w:rsidRPr="00F12520" w:rsidRDefault="001B36C6" w:rsidP="009912AC">
            <w:pPr>
              <w:spacing w:before="40" w:after="40"/>
              <w:jc w:val="center"/>
              <w:rPr>
                <w:sz w:val="22"/>
                <w:szCs w:val="22"/>
              </w:rPr>
            </w:pPr>
            <w:r>
              <w:rPr>
                <w:sz w:val="22"/>
                <w:szCs w:val="22"/>
              </w:rPr>
              <w:t>41,8</w:t>
            </w:r>
          </w:p>
        </w:tc>
        <w:tc>
          <w:tcPr>
            <w:tcW w:w="794" w:type="dxa"/>
            <w:vAlign w:val="center"/>
          </w:tcPr>
          <w:p w:rsidR="00057FA2" w:rsidRPr="00F12520" w:rsidRDefault="00057FA2" w:rsidP="00057FA2">
            <w:pPr>
              <w:spacing w:before="40" w:after="40"/>
              <w:jc w:val="center"/>
              <w:rPr>
                <w:sz w:val="22"/>
                <w:szCs w:val="22"/>
              </w:rPr>
            </w:pPr>
            <w:r>
              <w:rPr>
                <w:sz w:val="22"/>
                <w:szCs w:val="22"/>
              </w:rPr>
              <w:t>77,7%</w:t>
            </w:r>
          </w:p>
        </w:tc>
        <w:tc>
          <w:tcPr>
            <w:tcW w:w="794" w:type="dxa"/>
            <w:vAlign w:val="center"/>
          </w:tcPr>
          <w:p w:rsidR="00057FA2" w:rsidRPr="00F12520" w:rsidRDefault="00057FA2" w:rsidP="00057FA2">
            <w:pPr>
              <w:spacing w:before="40" w:after="40"/>
              <w:jc w:val="center"/>
              <w:rPr>
                <w:sz w:val="22"/>
                <w:szCs w:val="22"/>
              </w:rPr>
            </w:pPr>
            <w:r>
              <w:rPr>
                <w:sz w:val="22"/>
                <w:szCs w:val="22"/>
              </w:rPr>
              <w:t>45,7%</w:t>
            </w:r>
          </w:p>
        </w:tc>
        <w:tc>
          <w:tcPr>
            <w:tcW w:w="794" w:type="dxa"/>
            <w:vAlign w:val="center"/>
          </w:tcPr>
          <w:p w:rsidR="00057FA2" w:rsidRPr="00F12520" w:rsidRDefault="001B36C6" w:rsidP="009912AC">
            <w:pPr>
              <w:spacing w:before="40" w:after="40"/>
              <w:jc w:val="center"/>
              <w:rPr>
                <w:sz w:val="22"/>
                <w:szCs w:val="22"/>
              </w:rPr>
            </w:pPr>
            <w:r>
              <w:rPr>
                <w:sz w:val="22"/>
                <w:szCs w:val="22"/>
              </w:rPr>
              <w:t>57,3%</w:t>
            </w:r>
          </w:p>
        </w:tc>
        <w:tc>
          <w:tcPr>
            <w:tcW w:w="1531" w:type="dxa"/>
            <w:vAlign w:val="center"/>
          </w:tcPr>
          <w:p w:rsidR="00057FA2" w:rsidRPr="00057FA2" w:rsidRDefault="00057FA2" w:rsidP="00057FA2">
            <w:pPr>
              <w:spacing w:before="40" w:after="40"/>
              <w:jc w:val="center"/>
              <w:rPr>
                <w:spacing w:val="-2"/>
                <w:sz w:val="21"/>
                <w:szCs w:val="21"/>
              </w:rPr>
            </w:pPr>
            <w:r w:rsidRPr="00057FA2">
              <w:rPr>
                <w:spacing w:val="-2"/>
                <w:sz w:val="21"/>
                <w:szCs w:val="21"/>
              </w:rPr>
              <w:t>-140,8 /-76,6%</w:t>
            </w:r>
          </w:p>
        </w:tc>
        <w:tc>
          <w:tcPr>
            <w:tcW w:w="1474" w:type="dxa"/>
            <w:vAlign w:val="center"/>
          </w:tcPr>
          <w:p w:rsidR="00057FA2" w:rsidRPr="00057FA2" w:rsidRDefault="00057FA2" w:rsidP="001B36C6">
            <w:pPr>
              <w:spacing w:before="40" w:after="40"/>
              <w:jc w:val="center"/>
              <w:rPr>
                <w:spacing w:val="-2"/>
                <w:sz w:val="21"/>
                <w:szCs w:val="21"/>
              </w:rPr>
            </w:pPr>
            <w:r w:rsidRPr="00057FA2">
              <w:rPr>
                <w:spacing w:val="-2"/>
                <w:sz w:val="21"/>
                <w:szCs w:val="21"/>
              </w:rPr>
              <w:t>-</w:t>
            </w:r>
            <w:r w:rsidR="001B36C6">
              <w:rPr>
                <w:spacing w:val="-2"/>
                <w:sz w:val="21"/>
                <w:szCs w:val="21"/>
              </w:rPr>
              <w:t>1,3</w:t>
            </w:r>
            <w:r w:rsidRPr="00057FA2">
              <w:rPr>
                <w:spacing w:val="-2"/>
                <w:sz w:val="21"/>
                <w:szCs w:val="21"/>
              </w:rPr>
              <w:t xml:space="preserve"> /-</w:t>
            </w:r>
            <w:r w:rsidR="001B36C6">
              <w:rPr>
                <w:spacing w:val="-2"/>
                <w:sz w:val="21"/>
                <w:szCs w:val="21"/>
              </w:rPr>
              <w:t>3,0</w:t>
            </w:r>
            <w:r w:rsidRPr="00057FA2">
              <w:rPr>
                <w:spacing w:val="-2"/>
                <w:sz w:val="21"/>
                <w:szCs w:val="21"/>
              </w:rPr>
              <w:t>%</w:t>
            </w:r>
          </w:p>
        </w:tc>
      </w:tr>
      <w:tr w:rsidR="00057FA2" w:rsidRPr="0029403D" w:rsidTr="00837BFB">
        <w:tc>
          <w:tcPr>
            <w:tcW w:w="2103" w:type="dxa"/>
          </w:tcPr>
          <w:p w:rsidR="00057FA2" w:rsidRPr="0029403D" w:rsidRDefault="00057FA2" w:rsidP="00A20F54">
            <w:pPr>
              <w:rPr>
                <w:b/>
                <w:sz w:val="22"/>
                <w:szCs w:val="22"/>
              </w:rPr>
            </w:pPr>
            <w:r w:rsidRPr="0029403D">
              <w:rPr>
                <w:b/>
                <w:sz w:val="22"/>
                <w:szCs w:val="22"/>
              </w:rPr>
              <w:t xml:space="preserve">Итого </w:t>
            </w:r>
            <w:r>
              <w:rPr>
                <w:b/>
                <w:sz w:val="22"/>
                <w:szCs w:val="22"/>
              </w:rPr>
              <w:t>не</w:t>
            </w:r>
            <w:r w:rsidRPr="0029403D">
              <w:rPr>
                <w:b/>
                <w:sz w:val="22"/>
                <w:szCs w:val="22"/>
              </w:rPr>
              <w:t>налог</w:t>
            </w:r>
            <w:r w:rsidRPr="0029403D">
              <w:rPr>
                <w:b/>
                <w:sz w:val="22"/>
                <w:szCs w:val="22"/>
              </w:rPr>
              <w:t>о</w:t>
            </w:r>
            <w:r w:rsidRPr="0029403D">
              <w:rPr>
                <w:b/>
                <w:sz w:val="22"/>
                <w:szCs w:val="22"/>
              </w:rPr>
              <w:t>вых доходов</w:t>
            </w:r>
          </w:p>
        </w:tc>
        <w:tc>
          <w:tcPr>
            <w:tcW w:w="737" w:type="dxa"/>
            <w:vAlign w:val="center"/>
          </w:tcPr>
          <w:p w:rsidR="00057FA2" w:rsidRPr="00F12520" w:rsidRDefault="00057FA2" w:rsidP="00057FA2">
            <w:pPr>
              <w:jc w:val="center"/>
              <w:rPr>
                <w:b/>
                <w:sz w:val="22"/>
                <w:szCs w:val="22"/>
              </w:rPr>
            </w:pPr>
            <w:r>
              <w:rPr>
                <w:b/>
                <w:sz w:val="22"/>
                <w:szCs w:val="22"/>
              </w:rPr>
              <w:t>236,7</w:t>
            </w:r>
          </w:p>
        </w:tc>
        <w:tc>
          <w:tcPr>
            <w:tcW w:w="737" w:type="dxa"/>
            <w:vAlign w:val="center"/>
          </w:tcPr>
          <w:p w:rsidR="00057FA2" w:rsidRPr="00F12520" w:rsidRDefault="00057FA2" w:rsidP="00057FA2">
            <w:pPr>
              <w:jc w:val="center"/>
              <w:rPr>
                <w:b/>
                <w:sz w:val="22"/>
                <w:szCs w:val="22"/>
              </w:rPr>
            </w:pPr>
            <w:r>
              <w:rPr>
                <w:b/>
                <w:sz w:val="22"/>
                <w:szCs w:val="22"/>
              </w:rPr>
              <w:t>94,3</w:t>
            </w:r>
          </w:p>
        </w:tc>
        <w:tc>
          <w:tcPr>
            <w:tcW w:w="737" w:type="dxa"/>
            <w:vAlign w:val="center"/>
          </w:tcPr>
          <w:p w:rsidR="00057FA2" w:rsidRPr="00F12520" w:rsidRDefault="001B36C6" w:rsidP="00A20F54">
            <w:pPr>
              <w:jc w:val="center"/>
              <w:rPr>
                <w:b/>
                <w:sz w:val="22"/>
                <w:szCs w:val="22"/>
              </w:rPr>
            </w:pPr>
            <w:r>
              <w:rPr>
                <w:b/>
                <w:sz w:val="22"/>
                <w:szCs w:val="22"/>
              </w:rPr>
              <w:t>72,9</w:t>
            </w:r>
          </w:p>
        </w:tc>
        <w:tc>
          <w:tcPr>
            <w:tcW w:w="794" w:type="dxa"/>
            <w:vAlign w:val="center"/>
          </w:tcPr>
          <w:p w:rsidR="00057FA2" w:rsidRPr="00F12520" w:rsidRDefault="00057FA2" w:rsidP="00A20F54">
            <w:pPr>
              <w:jc w:val="center"/>
              <w:rPr>
                <w:b/>
                <w:sz w:val="22"/>
                <w:szCs w:val="22"/>
              </w:rPr>
            </w:pPr>
            <w:r w:rsidRPr="00F12520">
              <w:rPr>
                <w:b/>
                <w:sz w:val="22"/>
                <w:szCs w:val="22"/>
              </w:rPr>
              <w:t>100%</w:t>
            </w:r>
          </w:p>
        </w:tc>
        <w:tc>
          <w:tcPr>
            <w:tcW w:w="794" w:type="dxa"/>
            <w:vAlign w:val="center"/>
          </w:tcPr>
          <w:p w:rsidR="00057FA2" w:rsidRPr="00F12520" w:rsidRDefault="00057FA2" w:rsidP="00A20F54">
            <w:pPr>
              <w:jc w:val="center"/>
              <w:rPr>
                <w:b/>
                <w:sz w:val="22"/>
                <w:szCs w:val="22"/>
              </w:rPr>
            </w:pPr>
            <w:r w:rsidRPr="00F12520">
              <w:rPr>
                <w:b/>
                <w:sz w:val="22"/>
                <w:szCs w:val="22"/>
              </w:rPr>
              <w:t>100%</w:t>
            </w:r>
          </w:p>
        </w:tc>
        <w:tc>
          <w:tcPr>
            <w:tcW w:w="794" w:type="dxa"/>
            <w:vAlign w:val="center"/>
          </w:tcPr>
          <w:p w:rsidR="00057FA2" w:rsidRPr="00F12520" w:rsidRDefault="00057FA2" w:rsidP="00A20F54">
            <w:pPr>
              <w:jc w:val="center"/>
              <w:rPr>
                <w:b/>
                <w:sz w:val="22"/>
                <w:szCs w:val="22"/>
              </w:rPr>
            </w:pPr>
            <w:r w:rsidRPr="00F12520">
              <w:rPr>
                <w:b/>
                <w:sz w:val="22"/>
                <w:szCs w:val="22"/>
              </w:rPr>
              <w:t>100%</w:t>
            </w:r>
          </w:p>
        </w:tc>
        <w:tc>
          <w:tcPr>
            <w:tcW w:w="1531" w:type="dxa"/>
            <w:vAlign w:val="center"/>
          </w:tcPr>
          <w:p w:rsidR="00057FA2" w:rsidRPr="00057FA2" w:rsidRDefault="00057FA2" w:rsidP="00057FA2">
            <w:pPr>
              <w:jc w:val="center"/>
              <w:rPr>
                <w:b/>
                <w:sz w:val="21"/>
                <w:szCs w:val="21"/>
              </w:rPr>
            </w:pPr>
            <w:r w:rsidRPr="00057FA2">
              <w:rPr>
                <w:b/>
                <w:sz w:val="21"/>
                <w:szCs w:val="21"/>
              </w:rPr>
              <w:t>-142,4 /-60,2%</w:t>
            </w:r>
          </w:p>
        </w:tc>
        <w:tc>
          <w:tcPr>
            <w:tcW w:w="1474" w:type="dxa"/>
            <w:vAlign w:val="center"/>
          </w:tcPr>
          <w:p w:rsidR="00057FA2" w:rsidRPr="00057FA2" w:rsidRDefault="00057FA2" w:rsidP="001B36C6">
            <w:pPr>
              <w:jc w:val="center"/>
              <w:rPr>
                <w:b/>
                <w:sz w:val="21"/>
                <w:szCs w:val="21"/>
              </w:rPr>
            </w:pPr>
            <w:r w:rsidRPr="00057FA2">
              <w:rPr>
                <w:b/>
                <w:sz w:val="21"/>
                <w:szCs w:val="21"/>
              </w:rPr>
              <w:t>-</w:t>
            </w:r>
            <w:r w:rsidR="001B36C6">
              <w:rPr>
                <w:b/>
                <w:sz w:val="21"/>
                <w:szCs w:val="21"/>
              </w:rPr>
              <w:t>21</w:t>
            </w:r>
            <w:r w:rsidRPr="00057FA2">
              <w:rPr>
                <w:b/>
                <w:sz w:val="21"/>
                <w:szCs w:val="21"/>
              </w:rPr>
              <w:t>,4 /-</w:t>
            </w:r>
            <w:r w:rsidR="001B36C6">
              <w:rPr>
                <w:b/>
                <w:sz w:val="21"/>
                <w:szCs w:val="21"/>
              </w:rPr>
              <w:t>22,7</w:t>
            </w:r>
            <w:r w:rsidRPr="00057FA2">
              <w:rPr>
                <w:b/>
                <w:sz w:val="21"/>
                <w:szCs w:val="21"/>
              </w:rPr>
              <w:t>%</w:t>
            </w:r>
          </w:p>
        </w:tc>
      </w:tr>
    </w:tbl>
    <w:p w:rsidR="001B36C6" w:rsidRPr="005468EF" w:rsidRDefault="001B36C6" w:rsidP="005C18F4">
      <w:pPr>
        <w:spacing w:before="120"/>
        <w:ind w:firstLine="567"/>
        <w:jc w:val="both"/>
        <w:rPr>
          <w:rFonts w:ascii="Times New Roman CYR" w:hAnsi="Times New Roman CYR" w:cs="Times New Roman CYR"/>
        </w:rPr>
      </w:pPr>
      <w:proofErr w:type="gramStart"/>
      <w:r>
        <w:rPr>
          <w:rFonts w:ascii="Times New Roman CYR" w:hAnsi="Times New Roman CYR" w:cs="Times New Roman CYR"/>
        </w:rPr>
        <w:t>В связи с изменением в БК РФ доходы от аренды за земельные участки</w:t>
      </w:r>
      <w:proofErr w:type="gramEnd"/>
      <w:r>
        <w:rPr>
          <w:rFonts w:ascii="Times New Roman CYR" w:hAnsi="Times New Roman CYR" w:cs="Times New Roman CYR"/>
        </w:rPr>
        <w:t>, расположенные в сельских поселениях, поступают по нормативу 100% в бюджет муниципального района.</w:t>
      </w:r>
    </w:p>
    <w:p w:rsidR="009C03FE" w:rsidRPr="0029403D" w:rsidRDefault="005E15EC" w:rsidP="009C03FE">
      <w:pPr>
        <w:spacing w:before="120"/>
        <w:ind w:firstLine="567"/>
        <w:jc w:val="both"/>
      </w:pPr>
      <w:r w:rsidRPr="0029403D">
        <w:rPr>
          <w:rFonts w:ascii="Times New Roman CYR" w:hAnsi="Times New Roman CYR" w:cs="Times New Roman CYR"/>
          <w:b/>
        </w:rPr>
        <w:t>Безвозмездные поступления</w:t>
      </w:r>
      <w:r w:rsidR="00EE52AC">
        <w:rPr>
          <w:rFonts w:ascii="Times New Roman CYR" w:hAnsi="Times New Roman CYR" w:cs="Times New Roman CYR"/>
          <w:b/>
        </w:rPr>
        <w:t xml:space="preserve"> </w:t>
      </w:r>
      <w:r w:rsidR="009C03FE" w:rsidRPr="0029403D">
        <w:rPr>
          <w:bCs/>
          <w:iCs/>
        </w:rPr>
        <w:t xml:space="preserve">местного бюджета за </w:t>
      </w:r>
      <w:r w:rsidR="00057FA2">
        <w:rPr>
          <w:bCs/>
          <w:iCs/>
        </w:rPr>
        <w:t>2015</w:t>
      </w:r>
      <w:r w:rsidR="009C03FE" w:rsidRPr="0029403D">
        <w:rPr>
          <w:bCs/>
          <w:iCs/>
        </w:rPr>
        <w:t xml:space="preserve"> год исполнены в объеме </w:t>
      </w:r>
      <w:r w:rsidR="00CA5EBE">
        <w:rPr>
          <w:bCs/>
          <w:iCs/>
        </w:rPr>
        <w:t>12915,9</w:t>
      </w:r>
      <w:r w:rsidR="009C03FE" w:rsidRPr="0029403D">
        <w:rPr>
          <w:bCs/>
          <w:iCs/>
        </w:rPr>
        <w:t xml:space="preserve"> тыс. руб. или </w:t>
      </w:r>
      <w:r w:rsidR="00480BE0">
        <w:rPr>
          <w:bCs/>
          <w:iCs/>
        </w:rPr>
        <w:t>99,5</w:t>
      </w:r>
      <w:r w:rsidR="009C03FE" w:rsidRPr="0029403D">
        <w:rPr>
          <w:bCs/>
          <w:iCs/>
        </w:rPr>
        <w:t>% от плановых назначений</w:t>
      </w:r>
      <w:r w:rsidR="00EE52AC">
        <w:rPr>
          <w:bCs/>
          <w:iCs/>
        </w:rPr>
        <w:t xml:space="preserve"> </w:t>
      </w:r>
      <w:r w:rsidR="00EE52AC" w:rsidRPr="0042298A">
        <w:t xml:space="preserve">(недоисполнение – </w:t>
      </w:r>
      <w:r w:rsidR="00CA5EBE">
        <w:t>69,5</w:t>
      </w:r>
      <w:r w:rsidR="00EE52AC" w:rsidRPr="0042298A">
        <w:t xml:space="preserve"> тыс. руб.)</w:t>
      </w:r>
      <w:r w:rsidR="00793BB0" w:rsidRPr="0029403D">
        <w:t>.</w:t>
      </w:r>
    </w:p>
    <w:p w:rsidR="005E15EC" w:rsidRPr="0029403D" w:rsidRDefault="005E15EC" w:rsidP="00C12D1B">
      <w:pPr>
        <w:spacing w:before="60"/>
        <w:ind w:firstLine="567"/>
        <w:jc w:val="both"/>
      </w:pPr>
      <w:r w:rsidRPr="0029403D">
        <w:t xml:space="preserve">Подробный анализ </w:t>
      </w:r>
      <w:r w:rsidR="00767833" w:rsidRPr="0029403D">
        <w:t xml:space="preserve">поступления </w:t>
      </w:r>
      <w:r w:rsidRPr="0029403D">
        <w:t xml:space="preserve">безвозмездных поступлений представлен в таблице </w:t>
      </w:r>
      <w:r w:rsidR="00975291">
        <w:t>3</w:t>
      </w:r>
      <w:r w:rsidRPr="0029403D">
        <w:t>.</w:t>
      </w:r>
    </w:p>
    <w:p w:rsidR="00877B5F" w:rsidRPr="0029403D" w:rsidRDefault="005E15EC" w:rsidP="007342F7">
      <w:pPr>
        <w:spacing w:before="120" w:after="120"/>
        <w:jc w:val="center"/>
        <w:rPr>
          <w:sz w:val="22"/>
          <w:szCs w:val="22"/>
        </w:rPr>
      </w:pPr>
      <w:r w:rsidRPr="00535CEF">
        <w:rPr>
          <w:sz w:val="22"/>
          <w:szCs w:val="22"/>
        </w:rPr>
        <w:t xml:space="preserve">Таблица </w:t>
      </w:r>
      <w:r w:rsidR="00975291">
        <w:rPr>
          <w:sz w:val="22"/>
          <w:szCs w:val="22"/>
        </w:rPr>
        <w:t>3</w:t>
      </w:r>
      <w:r w:rsidRPr="00535CEF">
        <w:rPr>
          <w:sz w:val="22"/>
          <w:szCs w:val="22"/>
        </w:rPr>
        <w:t xml:space="preserve">. </w:t>
      </w:r>
      <w:r w:rsidR="004E793D" w:rsidRPr="00535CEF">
        <w:rPr>
          <w:sz w:val="22"/>
          <w:szCs w:val="22"/>
        </w:rPr>
        <w:t>С</w:t>
      </w:r>
      <w:r w:rsidRPr="00535CEF">
        <w:rPr>
          <w:sz w:val="22"/>
          <w:szCs w:val="22"/>
        </w:rPr>
        <w:t>труктур</w:t>
      </w:r>
      <w:r w:rsidR="004E793D" w:rsidRPr="00535CEF">
        <w:rPr>
          <w:sz w:val="22"/>
          <w:szCs w:val="22"/>
        </w:rPr>
        <w:t>а</w:t>
      </w:r>
      <w:r w:rsidRPr="00535CEF">
        <w:rPr>
          <w:sz w:val="22"/>
          <w:szCs w:val="22"/>
        </w:rPr>
        <w:t xml:space="preserve"> безвозмездных поступлений местного бюджета, тыс. руб.</w:t>
      </w:r>
    </w:p>
    <w:tbl>
      <w:tblPr>
        <w:tblW w:w="9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1"/>
        <w:gridCol w:w="794"/>
        <w:gridCol w:w="907"/>
        <w:gridCol w:w="907"/>
        <w:gridCol w:w="794"/>
        <w:gridCol w:w="794"/>
        <w:gridCol w:w="794"/>
        <w:gridCol w:w="1247"/>
        <w:gridCol w:w="1247"/>
      </w:tblGrid>
      <w:tr w:rsidR="000C0B4C" w:rsidRPr="0029403D" w:rsidTr="001B36C6">
        <w:trPr>
          <w:trHeight w:val="528"/>
        </w:trPr>
        <w:tc>
          <w:tcPr>
            <w:tcW w:w="2211" w:type="dxa"/>
            <w:vMerge w:val="restart"/>
            <w:vAlign w:val="center"/>
          </w:tcPr>
          <w:p w:rsidR="000C0B4C" w:rsidRPr="0029403D" w:rsidRDefault="000C0B4C" w:rsidP="00877B5F">
            <w:pPr>
              <w:rPr>
                <w:i/>
                <w:sz w:val="20"/>
                <w:szCs w:val="20"/>
              </w:rPr>
            </w:pPr>
            <w:r w:rsidRPr="0029403D">
              <w:rPr>
                <w:i/>
                <w:sz w:val="20"/>
                <w:szCs w:val="20"/>
              </w:rPr>
              <w:t>Наименования дохода</w:t>
            </w:r>
          </w:p>
        </w:tc>
        <w:tc>
          <w:tcPr>
            <w:tcW w:w="2608" w:type="dxa"/>
            <w:gridSpan w:val="3"/>
            <w:vAlign w:val="center"/>
          </w:tcPr>
          <w:p w:rsidR="000C0B4C" w:rsidRPr="0029403D" w:rsidRDefault="000C0B4C" w:rsidP="002E14C6">
            <w:pPr>
              <w:jc w:val="center"/>
              <w:rPr>
                <w:i/>
                <w:sz w:val="20"/>
                <w:szCs w:val="20"/>
              </w:rPr>
            </w:pPr>
            <w:r w:rsidRPr="0029403D">
              <w:rPr>
                <w:i/>
                <w:sz w:val="20"/>
                <w:szCs w:val="20"/>
              </w:rPr>
              <w:t>Исполнение бюджета</w:t>
            </w:r>
          </w:p>
        </w:tc>
        <w:tc>
          <w:tcPr>
            <w:tcW w:w="2382" w:type="dxa"/>
            <w:gridSpan w:val="3"/>
          </w:tcPr>
          <w:p w:rsidR="000C0B4C" w:rsidRPr="00094DDE" w:rsidRDefault="000C0B4C" w:rsidP="00877B5F">
            <w:pPr>
              <w:spacing w:before="40"/>
              <w:jc w:val="center"/>
              <w:rPr>
                <w:i/>
                <w:spacing w:val="-4"/>
                <w:sz w:val="20"/>
                <w:szCs w:val="20"/>
              </w:rPr>
            </w:pPr>
            <w:r w:rsidRPr="00094DDE">
              <w:rPr>
                <w:i/>
                <w:spacing w:val="-4"/>
                <w:sz w:val="20"/>
                <w:szCs w:val="20"/>
              </w:rPr>
              <w:t>Доля в общем объёме бе</w:t>
            </w:r>
            <w:r w:rsidRPr="00094DDE">
              <w:rPr>
                <w:i/>
                <w:spacing w:val="-4"/>
                <w:sz w:val="20"/>
                <w:szCs w:val="20"/>
              </w:rPr>
              <w:t>з</w:t>
            </w:r>
            <w:r w:rsidRPr="00094DDE">
              <w:rPr>
                <w:i/>
                <w:spacing w:val="-4"/>
                <w:sz w:val="20"/>
                <w:szCs w:val="20"/>
              </w:rPr>
              <w:t>возмездных поступлений</w:t>
            </w:r>
          </w:p>
        </w:tc>
        <w:tc>
          <w:tcPr>
            <w:tcW w:w="2494" w:type="dxa"/>
            <w:gridSpan w:val="2"/>
            <w:vAlign w:val="center"/>
          </w:tcPr>
          <w:p w:rsidR="000C0B4C" w:rsidRPr="0029403D" w:rsidRDefault="000C0B4C" w:rsidP="00A20F54">
            <w:pPr>
              <w:jc w:val="center"/>
              <w:rPr>
                <w:i/>
                <w:sz w:val="20"/>
                <w:szCs w:val="20"/>
              </w:rPr>
            </w:pPr>
            <w:r w:rsidRPr="0029403D">
              <w:rPr>
                <w:i/>
                <w:sz w:val="20"/>
                <w:szCs w:val="20"/>
              </w:rPr>
              <w:t>Абсолютный прирост (тыс. руб./проценты)</w:t>
            </w:r>
          </w:p>
        </w:tc>
      </w:tr>
      <w:tr w:rsidR="000C0B4C" w:rsidRPr="0029403D" w:rsidTr="001B36C6">
        <w:trPr>
          <w:trHeight w:val="315"/>
        </w:trPr>
        <w:tc>
          <w:tcPr>
            <w:tcW w:w="2211" w:type="dxa"/>
            <w:vMerge/>
            <w:vAlign w:val="center"/>
          </w:tcPr>
          <w:p w:rsidR="000C0B4C" w:rsidRPr="0029403D" w:rsidRDefault="000C0B4C" w:rsidP="00877B5F">
            <w:pPr>
              <w:rPr>
                <w:i/>
                <w:sz w:val="20"/>
                <w:szCs w:val="20"/>
              </w:rPr>
            </w:pPr>
          </w:p>
        </w:tc>
        <w:tc>
          <w:tcPr>
            <w:tcW w:w="794" w:type="dxa"/>
            <w:vAlign w:val="center"/>
          </w:tcPr>
          <w:p w:rsidR="000C0B4C" w:rsidRPr="0029403D" w:rsidRDefault="00057FA2" w:rsidP="00877B5F">
            <w:pPr>
              <w:jc w:val="center"/>
              <w:rPr>
                <w:i/>
                <w:sz w:val="20"/>
                <w:szCs w:val="20"/>
              </w:rPr>
            </w:pPr>
            <w:r>
              <w:rPr>
                <w:i/>
                <w:sz w:val="20"/>
                <w:szCs w:val="20"/>
              </w:rPr>
              <w:t>2013</w:t>
            </w:r>
          </w:p>
        </w:tc>
        <w:tc>
          <w:tcPr>
            <w:tcW w:w="907" w:type="dxa"/>
            <w:vAlign w:val="center"/>
          </w:tcPr>
          <w:p w:rsidR="000C0B4C" w:rsidRPr="0029403D" w:rsidRDefault="00057FA2" w:rsidP="00877B5F">
            <w:pPr>
              <w:jc w:val="center"/>
              <w:rPr>
                <w:i/>
                <w:sz w:val="20"/>
                <w:szCs w:val="20"/>
              </w:rPr>
            </w:pPr>
            <w:r>
              <w:rPr>
                <w:i/>
                <w:sz w:val="20"/>
                <w:szCs w:val="20"/>
              </w:rPr>
              <w:t>2014</w:t>
            </w:r>
          </w:p>
        </w:tc>
        <w:tc>
          <w:tcPr>
            <w:tcW w:w="907" w:type="dxa"/>
            <w:vAlign w:val="center"/>
          </w:tcPr>
          <w:p w:rsidR="000C0B4C" w:rsidRPr="0029403D" w:rsidRDefault="00057FA2" w:rsidP="00877B5F">
            <w:pPr>
              <w:jc w:val="center"/>
              <w:rPr>
                <w:i/>
                <w:sz w:val="20"/>
                <w:szCs w:val="20"/>
              </w:rPr>
            </w:pPr>
            <w:r>
              <w:rPr>
                <w:i/>
                <w:sz w:val="20"/>
                <w:szCs w:val="20"/>
              </w:rPr>
              <w:t>2015</w:t>
            </w:r>
          </w:p>
        </w:tc>
        <w:tc>
          <w:tcPr>
            <w:tcW w:w="794" w:type="dxa"/>
            <w:vAlign w:val="center"/>
          </w:tcPr>
          <w:p w:rsidR="000C0B4C" w:rsidRPr="0029403D" w:rsidRDefault="00057FA2" w:rsidP="00877B5F">
            <w:pPr>
              <w:jc w:val="center"/>
              <w:rPr>
                <w:i/>
                <w:sz w:val="20"/>
                <w:szCs w:val="20"/>
              </w:rPr>
            </w:pPr>
            <w:r>
              <w:rPr>
                <w:i/>
                <w:sz w:val="20"/>
                <w:szCs w:val="20"/>
              </w:rPr>
              <w:t>2013</w:t>
            </w:r>
          </w:p>
        </w:tc>
        <w:tc>
          <w:tcPr>
            <w:tcW w:w="794" w:type="dxa"/>
            <w:vAlign w:val="center"/>
          </w:tcPr>
          <w:p w:rsidR="000C0B4C" w:rsidRPr="0029403D" w:rsidRDefault="00057FA2" w:rsidP="00877B5F">
            <w:pPr>
              <w:jc w:val="center"/>
              <w:rPr>
                <w:i/>
                <w:sz w:val="20"/>
                <w:szCs w:val="20"/>
              </w:rPr>
            </w:pPr>
            <w:r>
              <w:rPr>
                <w:i/>
                <w:sz w:val="20"/>
                <w:szCs w:val="20"/>
              </w:rPr>
              <w:t>2014</w:t>
            </w:r>
          </w:p>
        </w:tc>
        <w:tc>
          <w:tcPr>
            <w:tcW w:w="794" w:type="dxa"/>
            <w:vAlign w:val="center"/>
          </w:tcPr>
          <w:p w:rsidR="000C0B4C" w:rsidRPr="0029403D" w:rsidRDefault="00057FA2" w:rsidP="00877B5F">
            <w:pPr>
              <w:jc w:val="center"/>
              <w:rPr>
                <w:i/>
                <w:sz w:val="20"/>
                <w:szCs w:val="20"/>
              </w:rPr>
            </w:pPr>
            <w:r>
              <w:rPr>
                <w:i/>
                <w:sz w:val="20"/>
                <w:szCs w:val="20"/>
              </w:rPr>
              <w:t>2015</w:t>
            </w:r>
          </w:p>
        </w:tc>
        <w:tc>
          <w:tcPr>
            <w:tcW w:w="1247" w:type="dxa"/>
            <w:vAlign w:val="center"/>
          </w:tcPr>
          <w:p w:rsidR="000C0B4C" w:rsidRPr="0029403D" w:rsidRDefault="00057FA2" w:rsidP="00877B5F">
            <w:pPr>
              <w:jc w:val="center"/>
              <w:rPr>
                <w:i/>
                <w:sz w:val="20"/>
                <w:szCs w:val="20"/>
              </w:rPr>
            </w:pPr>
            <w:r>
              <w:rPr>
                <w:i/>
                <w:sz w:val="20"/>
                <w:szCs w:val="20"/>
              </w:rPr>
              <w:t>2014</w:t>
            </w:r>
            <w:r w:rsidR="00A20F54">
              <w:rPr>
                <w:i/>
                <w:sz w:val="20"/>
                <w:szCs w:val="20"/>
              </w:rPr>
              <w:t xml:space="preserve"> к </w:t>
            </w:r>
            <w:r>
              <w:rPr>
                <w:i/>
                <w:sz w:val="20"/>
                <w:szCs w:val="20"/>
              </w:rPr>
              <w:t>2013</w:t>
            </w:r>
          </w:p>
        </w:tc>
        <w:tc>
          <w:tcPr>
            <w:tcW w:w="1247" w:type="dxa"/>
            <w:vAlign w:val="center"/>
          </w:tcPr>
          <w:p w:rsidR="000C0B4C" w:rsidRPr="0029403D" w:rsidRDefault="00057FA2" w:rsidP="00877B5F">
            <w:pPr>
              <w:jc w:val="center"/>
              <w:rPr>
                <w:i/>
                <w:sz w:val="20"/>
                <w:szCs w:val="20"/>
              </w:rPr>
            </w:pPr>
            <w:r>
              <w:rPr>
                <w:i/>
                <w:sz w:val="20"/>
                <w:szCs w:val="20"/>
              </w:rPr>
              <w:t>2015</w:t>
            </w:r>
            <w:r w:rsidR="00A20F54">
              <w:rPr>
                <w:i/>
                <w:sz w:val="20"/>
                <w:szCs w:val="20"/>
              </w:rPr>
              <w:t xml:space="preserve"> к </w:t>
            </w:r>
            <w:r>
              <w:rPr>
                <w:i/>
                <w:sz w:val="20"/>
                <w:szCs w:val="20"/>
              </w:rPr>
              <w:t>2014</w:t>
            </w:r>
          </w:p>
        </w:tc>
      </w:tr>
      <w:tr w:rsidR="00057FA2" w:rsidRPr="0029403D" w:rsidTr="001B36C6">
        <w:trPr>
          <w:trHeight w:val="283"/>
        </w:trPr>
        <w:tc>
          <w:tcPr>
            <w:tcW w:w="2211" w:type="dxa"/>
          </w:tcPr>
          <w:p w:rsidR="00057FA2" w:rsidRPr="0029403D" w:rsidRDefault="00057FA2" w:rsidP="009912AC">
            <w:pPr>
              <w:spacing w:before="120"/>
              <w:rPr>
                <w:sz w:val="22"/>
                <w:szCs w:val="22"/>
              </w:rPr>
            </w:pPr>
            <w:r w:rsidRPr="0029403D">
              <w:rPr>
                <w:sz w:val="22"/>
                <w:szCs w:val="22"/>
              </w:rPr>
              <w:t>Дотации</w:t>
            </w:r>
          </w:p>
        </w:tc>
        <w:tc>
          <w:tcPr>
            <w:tcW w:w="794" w:type="dxa"/>
            <w:vAlign w:val="center"/>
          </w:tcPr>
          <w:p w:rsidR="00057FA2" w:rsidRPr="00057FA2" w:rsidRDefault="00057FA2" w:rsidP="00057FA2">
            <w:pPr>
              <w:jc w:val="center"/>
              <w:rPr>
                <w:sz w:val="21"/>
                <w:szCs w:val="21"/>
              </w:rPr>
            </w:pPr>
            <w:r w:rsidRPr="00057FA2">
              <w:rPr>
                <w:sz w:val="21"/>
                <w:szCs w:val="21"/>
              </w:rPr>
              <w:t>5192,2</w:t>
            </w:r>
          </w:p>
        </w:tc>
        <w:tc>
          <w:tcPr>
            <w:tcW w:w="907" w:type="dxa"/>
            <w:vAlign w:val="center"/>
          </w:tcPr>
          <w:p w:rsidR="00057FA2" w:rsidRPr="00057FA2" w:rsidRDefault="00057FA2" w:rsidP="00057FA2">
            <w:pPr>
              <w:jc w:val="center"/>
              <w:rPr>
                <w:sz w:val="21"/>
                <w:szCs w:val="21"/>
              </w:rPr>
            </w:pPr>
            <w:r w:rsidRPr="00057FA2">
              <w:rPr>
                <w:sz w:val="21"/>
                <w:szCs w:val="21"/>
              </w:rPr>
              <w:t>6126,9</w:t>
            </w:r>
          </w:p>
        </w:tc>
        <w:tc>
          <w:tcPr>
            <w:tcW w:w="907" w:type="dxa"/>
            <w:vAlign w:val="center"/>
          </w:tcPr>
          <w:p w:rsidR="00057FA2" w:rsidRPr="00057FA2" w:rsidRDefault="001B36C6" w:rsidP="009912AC">
            <w:pPr>
              <w:jc w:val="center"/>
              <w:rPr>
                <w:sz w:val="21"/>
                <w:szCs w:val="21"/>
              </w:rPr>
            </w:pPr>
            <w:r>
              <w:rPr>
                <w:sz w:val="21"/>
                <w:szCs w:val="21"/>
              </w:rPr>
              <w:t>5370,7</w:t>
            </w:r>
          </w:p>
        </w:tc>
        <w:tc>
          <w:tcPr>
            <w:tcW w:w="794" w:type="dxa"/>
            <w:vAlign w:val="center"/>
          </w:tcPr>
          <w:p w:rsidR="00057FA2" w:rsidRPr="00057FA2" w:rsidRDefault="00057FA2" w:rsidP="00057FA2">
            <w:pPr>
              <w:jc w:val="center"/>
              <w:rPr>
                <w:sz w:val="21"/>
                <w:szCs w:val="21"/>
              </w:rPr>
            </w:pPr>
            <w:r w:rsidRPr="00057FA2">
              <w:rPr>
                <w:sz w:val="21"/>
                <w:szCs w:val="21"/>
              </w:rPr>
              <w:t>75,3%</w:t>
            </w:r>
          </w:p>
        </w:tc>
        <w:tc>
          <w:tcPr>
            <w:tcW w:w="794" w:type="dxa"/>
            <w:vAlign w:val="center"/>
          </w:tcPr>
          <w:p w:rsidR="00057FA2" w:rsidRPr="00057FA2" w:rsidRDefault="00057FA2" w:rsidP="00057FA2">
            <w:pPr>
              <w:jc w:val="center"/>
              <w:rPr>
                <w:sz w:val="21"/>
                <w:szCs w:val="21"/>
              </w:rPr>
            </w:pPr>
            <w:r w:rsidRPr="00057FA2">
              <w:rPr>
                <w:sz w:val="21"/>
                <w:szCs w:val="21"/>
              </w:rPr>
              <w:t>61,1%</w:t>
            </w:r>
          </w:p>
        </w:tc>
        <w:tc>
          <w:tcPr>
            <w:tcW w:w="794" w:type="dxa"/>
            <w:vAlign w:val="center"/>
          </w:tcPr>
          <w:p w:rsidR="00057FA2" w:rsidRPr="00057FA2" w:rsidRDefault="001B36C6" w:rsidP="009912AC">
            <w:pPr>
              <w:jc w:val="center"/>
              <w:rPr>
                <w:sz w:val="21"/>
                <w:szCs w:val="21"/>
              </w:rPr>
            </w:pPr>
            <w:r>
              <w:rPr>
                <w:sz w:val="21"/>
                <w:szCs w:val="21"/>
              </w:rPr>
              <w:t>41,6%</w:t>
            </w:r>
          </w:p>
        </w:tc>
        <w:tc>
          <w:tcPr>
            <w:tcW w:w="1247" w:type="dxa"/>
            <w:vAlign w:val="center"/>
          </w:tcPr>
          <w:p w:rsidR="00057FA2" w:rsidRPr="00057FA2" w:rsidRDefault="00057FA2" w:rsidP="00057FA2">
            <w:pPr>
              <w:jc w:val="center"/>
              <w:rPr>
                <w:sz w:val="21"/>
                <w:szCs w:val="21"/>
              </w:rPr>
            </w:pPr>
            <w:r w:rsidRPr="00057FA2">
              <w:rPr>
                <w:sz w:val="21"/>
                <w:szCs w:val="21"/>
              </w:rPr>
              <w:t>934,7 / 18,0%</w:t>
            </w:r>
          </w:p>
        </w:tc>
        <w:tc>
          <w:tcPr>
            <w:tcW w:w="1247" w:type="dxa"/>
            <w:vAlign w:val="center"/>
          </w:tcPr>
          <w:p w:rsidR="001B36C6" w:rsidRDefault="001B36C6" w:rsidP="001B36C6">
            <w:pPr>
              <w:jc w:val="center"/>
              <w:rPr>
                <w:sz w:val="21"/>
                <w:szCs w:val="21"/>
              </w:rPr>
            </w:pPr>
            <w:r>
              <w:rPr>
                <w:sz w:val="21"/>
                <w:szCs w:val="21"/>
              </w:rPr>
              <w:t>-756,2</w:t>
            </w:r>
            <w:r w:rsidR="00057FA2" w:rsidRPr="00057FA2">
              <w:rPr>
                <w:sz w:val="21"/>
                <w:szCs w:val="21"/>
              </w:rPr>
              <w:t xml:space="preserve"> / </w:t>
            </w:r>
          </w:p>
          <w:p w:rsidR="00057FA2" w:rsidRPr="00057FA2" w:rsidRDefault="001B36C6" w:rsidP="001B36C6">
            <w:pPr>
              <w:jc w:val="center"/>
              <w:rPr>
                <w:sz w:val="21"/>
                <w:szCs w:val="21"/>
              </w:rPr>
            </w:pPr>
            <w:r>
              <w:rPr>
                <w:sz w:val="21"/>
                <w:szCs w:val="21"/>
              </w:rPr>
              <w:t>-12,3</w:t>
            </w:r>
            <w:r w:rsidR="00057FA2" w:rsidRPr="00057FA2">
              <w:rPr>
                <w:sz w:val="21"/>
                <w:szCs w:val="21"/>
              </w:rPr>
              <w:t>%</w:t>
            </w:r>
          </w:p>
        </w:tc>
      </w:tr>
      <w:tr w:rsidR="00057FA2" w:rsidRPr="0029403D" w:rsidTr="001B36C6">
        <w:trPr>
          <w:trHeight w:val="283"/>
        </w:trPr>
        <w:tc>
          <w:tcPr>
            <w:tcW w:w="2211" w:type="dxa"/>
          </w:tcPr>
          <w:p w:rsidR="00057FA2" w:rsidRPr="0029403D" w:rsidRDefault="00057FA2" w:rsidP="009912AC">
            <w:pPr>
              <w:spacing w:before="120"/>
              <w:rPr>
                <w:sz w:val="22"/>
                <w:szCs w:val="22"/>
              </w:rPr>
            </w:pPr>
            <w:r w:rsidRPr="0029403D">
              <w:rPr>
                <w:sz w:val="22"/>
                <w:szCs w:val="22"/>
              </w:rPr>
              <w:t>Субсидии</w:t>
            </w:r>
          </w:p>
        </w:tc>
        <w:tc>
          <w:tcPr>
            <w:tcW w:w="794" w:type="dxa"/>
            <w:vAlign w:val="center"/>
          </w:tcPr>
          <w:p w:rsidR="00057FA2" w:rsidRPr="00057FA2" w:rsidRDefault="00057FA2" w:rsidP="00057FA2">
            <w:pPr>
              <w:jc w:val="center"/>
              <w:rPr>
                <w:sz w:val="21"/>
                <w:szCs w:val="21"/>
              </w:rPr>
            </w:pPr>
            <w:r w:rsidRPr="00057FA2">
              <w:rPr>
                <w:sz w:val="21"/>
                <w:szCs w:val="21"/>
              </w:rPr>
              <w:t>1361,3</w:t>
            </w:r>
          </w:p>
        </w:tc>
        <w:tc>
          <w:tcPr>
            <w:tcW w:w="907" w:type="dxa"/>
            <w:vAlign w:val="center"/>
          </w:tcPr>
          <w:p w:rsidR="00057FA2" w:rsidRPr="00057FA2" w:rsidRDefault="00057FA2" w:rsidP="00057FA2">
            <w:pPr>
              <w:jc w:val="center"/>
              <w:rPr>
                <w:sz w:val="21"/>
                <w:szCs w:val="21"/>
              </w:rPr>
            </w:pPr>
            <w:r w:rsidRPr="00057FA2">
              <w:rPr>
                <w:sz w:val="21"/>
                <w:szCs w:val="21"/>
              </w:rPr>
              <w:t>2875,3</w:t>
            </w:r>
          </w:p>
        </w:tc>
        <w:tc>
          <w:tcPr>
            <w:tcW w:w="907" w:type="dxa"/>
            <w:vAlign w:val="center"/>
          </w:tcPr>
          <w:p w:rsidR="00057FA2" w:rsidRPr="00057FA2" w:rsidRDefault="001B36C6" w:rsidP="009912AC">
            <w:pPr>
              <w:jc w:val="center"/>
              <w:rPr>
                <w:sz w:val="21"/>
                <w:szCs w:val="21"/>
              </w:rPr>
            </w:pPr>
            <w:r>
              <w:rPr>
                <w:sz w:val="21"/>
                <w:szCs w:val="21"/>
              </w:rPr>
              <w:t>6309,9</w:t>
            </w:r>
          </w:p>
        </w:tc>
        <w:tc>
          <w:tcPr>
            <w:tcW w:w="794" w:type="dxa"/>
            <w:vAlign w:val="center"/>
          </w:tcPr>
          <w:p w:rsidR="00057FA2" w:rsidRPr="00057FA2" w:rsidRDefault="00057FA2" w:rsidP="00057FA2">
            <w:pPr>
              <w:jc w:val="center"/>
              <w:rPr>
                <w:sz w:val="21"/>
                <w:szCs w:val="21"/>
              </w:rPr>
            </w:pPr>
            <w:r w:rsidRPr="00057FA2">
              <w:rPr>
                <w:sz w:val="21"/>
                <w:szCs w:val="21"/>
              </w:rPr>
              <w:t>19,7%</w:t>
            </w:r>
          </w:p>
        </w:tc>
        <w:tc>
          <w:tcPr>
            <w:tcW w:w="794" w:type="dxa"/>
            <w:vAlign w:val="center"/>
          </w:tcPr>
          <w:p w:rsidR="00057FA2" w:rsidRPr="00057FA2" w:rsidRDefault="00057FA2" w:rsidP="00057FA2">
            <w:pPr>
              <w:jc w:val="center"/>
              <w:rPr>
                <w:sz w:val="21"/>
                <w:szCs w:val="21"/>
              </w:rPr>
            </w:pPr>
            <w:r w:rsidRPr="00057FA2">
              <w:rPr>
                <w:sz w:val="21"/>
                <w:szCs w:val="21"/>
              </w:rPr>
              <w:t>28,7%</w:t>
            </w:r>
          </w:p>
        </w:tc>
        <w:tc>
          <w:tcPr>
            <w:tcW w:w="794" w:type="dxa"/>
            <w:vAlign w:val="center"/>
          </w:tcPr>
          <w:p w:rsidR="00057FA2" w:rsidRPr="00057FA2" w:rsidRDefault="001B36C6" w:rsidP="009912AC">
            <w:pPr>
              <w:jc w:val="center"/>
              <w:rPr>
                <w:sz w:val="21"/>
                <w:szCs w:val="21"/>
              </w:rPr>
            </w:pPr>
            <w:r>
              <w:rPr>
                <w:sz w:val="21"/>
                <w:szCs w:val="21"/>
              </w:rPr>
              <w:t>48,9%</w:t>
            </w:r>
          </w:p>
        </w:tc>
        <w:tc>
          <w:tcPr>
            <w:tcW w:w="1247" w:type="dxa"/>
            <w:vAlign w:val="center"/>
          </w:tcPr>
          <w:p w:rsidR="00057FA2" w:rsidRPr="00057FA2" w:rsidRDefault="00057FA2" w:rsidP="00057FA2">
            <w:pPr>
              <w:jc w:val="center"/>
              <w:rPr>
                <w:sz w:val="21"/>
                <w:szCs w:val="21"/>
              </w:rPr>
            </w:pPr>
            <w:r w:rsidRPr="00057FA2">
              <w:rPr>
                <w:sz w:val="21"/>
                <w:szCs w:val="21"/>
              </w:rPr>
              <w:t>1514,0 / 111,2%</w:t>
            </w:r>
          </w:p>
        </w:tc>
        <w:tc>
          <w:tcPr>
            <w:tcW w:w="1247" w:type="dxa"/>
            <w:vAlign w:val="center"/>
          </w:tcPr>
          <w:p w:rsidR="00057FA2" w:rsidRPr="00057FA2" w:rsidRDefault="001B36C6" w:rsidP="001B36C6">
            <w:pPr>
              <w:jc w:val="center"/>
              <w:rPr>
                <w:sz w:val="21"/>
                <w:szCs w:val="21"/>
              </w:rPr>
            </w:pPr>
            <w:r>
              <w:rPr>
                <w:sz w:val="21"/>
                <w:szCs w:val="21"/>
              </w:rPr>
              <w:t>3434,6</w:t>
            </w:r>
            <w:r w:rsidR="00057FA2" w:rsidRPr="00057FA2">
              <w:rPr>
                <w:sz w:val="21"/>
                <w:szCs w:val="21"/>
              </w:rPr>
              <w:t xml:space="preserve"> / </w:t>
            </w:r>
            <w:r>
              <w:rPr>
                <w:sz w:val="21"/>
                <w:szCs w:val="21"/>
              </w:rPr>
              <w:t>119,5</w:t>
            </w:r>
            <w:r w:rsidR="00057FA2" w:rsidRPr="00057FA2">
              <w:rPr>
                <w:sz w:val="21"/>
                <w:szCs w:val="21"/>
              </w:rPr>
              <w:t>%</w:t>
            </w:r>
          </w:p>
        </w:tc>
      </w:tr>
      <w:tr w:rsidR="00057FA2" w:rsidRPr="0029403D" w:rsidTr="001B36C6">
        <w:trPr>
          <w:trHeight w:val="283"/>
        </w:trPr>
        <w:tc>
          <w:tcPr>
            <w:tcW w:w="2211" w:type="dxa"/>
          </w:tcPr>
          <w:p w:rsidR="00057FA2" w:rsidRPr="0029403D" w:rsidRDefault="00057FA2" w:rsidP="009912AC">
            <w:pPr>
              <w:spacing w:before="40" w:after="40"/>
              <w:rPr>
                <w:sz w:val="22"/>
                <w:szCs w:val="22"/>
              </w:rPr>
            </w:pPr>
            <w:r w:rsidRPr="0029403D">
              <w:rPr>
                <w:sz w:val="22"/>
                <w:szCs w:val="22"/>
              </w:rPr>
              <w:t>Субвенции</w:t>
            </w:r>
          </w:p>
        </w:tc>
        <w:tc>
          <w:tcPr>
            <w:tcW w:w="794" w:type="dxa"/>
            <w:vAlign w:val="center"/>
          </w:tcPr>
          <w:p w:rsidR="00057FA2" w:rsidRPr="00057FA2" w:rsidRDefault="00057FA2" w:rsidP="00057FA2">
            <w:pPr>
              <w:spacing w:before="40" w:after="40"/>
              <w:jc w:val="center"/>
              <w:rPr>
                <w:sz w:val="21"/>
                <w:szCs w:val="21"/>
              </w:rPr>
            </w:pPr>
            <w:r w:rsidRPr="00057FA2">
              <w:rPr>
                <w:sz w:val="21"/>
                <w:szCs w:val="21"/>
              </w:rPr>
              <w:t>66,1</w:t>
            </w:r>
          </w:p>
        </w:tc>
        <w:tc>
          <w:tcPr>
            <w:tcW w:w="907" w:type="dxa"/>
            <w:vAlign w:val="center"/>
          </w:tcPr>
          <w:p w:rsidR="00057FA2" w:rsidRPr="00057FA2" w:rsidRDefault="00057FA2" w:rsidP="00057FA2">
            <w:pPr>
              <w:spacing w:before="40" w:after="40"/>
              <w:jc w:val="center"/>
              <w:rPr>
                <w:sz w:val="21"/>
                <w:szCs w:val="21"/>
              </w:rPr>
            </w:pPr>
            <w:r w:rsidRPr="00057FA2">
              <w:rPr>
                <w:sz w:val="21"/>
                <w:szCs w:val="21"/>
              </w:rPr>
              <w:t>72,8</w:t>
            </w:r>
          </w:p>
        </w:tc>
        <w:tc>
          <w:tcPr>
            <w:tcW w:w="907" w:type="dxa"/>
            <w:vAlign w:val="center"/>
          </w:tcPr>
          <w:p w:rsidR="00057FA2" w:rsidRPr="00057FA2" w:rsidRDefault="001B36C6" w:rsidP="009912AC">
            <w:pPr>
              <w:spacing w:before="40" w:after="40"/>
              <w:jc w:val="center"/>
              <w:rPr>
                <w:sz w:val="21"/>
                <w:szCs w:val="21"/>
              </w:rPr>
            </w:pPr>
            <w:r>
              <w:rPr>
                <w:sz w:val="21"/>
                <w:szCs w:val="21"/>
              </w:rPr>
              <w:t>77,5</w:t>
            </w:r>
          </w:p>
        </w:tc>
        <w:tc>
          <w:tcPr>
            <w:tcW w:w="794" w:type="dxa"/>
            <w:vAlign w:val="center"/>
          </w:tcPr>
          <w:p w:rsidR="00057FA2" w:rsidRPr="00057FA2" w:rsidRDefault="00057FA2" w:rsidP="00057FA2">
            <w:pPr>
              <w:spacing w:before="40" w:after="40"/>
              <w:jc w:val="center"/>
              <w:rPr>
                <w:sz w:val="21"/>
                <w:szCs w:val="21"/>
              </w:rPr>
            </w:pPr>
            <w:r w:rsidRPr="00057FA2">
              <w:rPr>
                <w:sz w:val="21"/>
                <w:szCs w:val="21"/>
              </w:rPr>
              <w:t>1,0%</w:t>
            </w:r>
          </w:p>
        </w:tc>
        <w:tc>
          <w:tcPr>
            <w:tcW w:w="794" w:type="dxa"/>
            <w:vAlign w:val="center"/>
          </w:tcPr>
          <w:p w:rsidR="00057FA2" w:rsidRPr="00057FA2" w:rsidRDefault="00057FA2" w:rsidP="00057FA2">
            <w:pPr>
              <w:spacing w:before="40" w:after="40"/>
              <w:jc w:val="center"/>
              <w:rPr>
                <w:sz w:val="21"/>
                <w:szCs w:val="21"/>
              </w:rPr>
            </w:pPr>
            <w:r w:rsidRPr="00057FA2">
              <w:rPr>
                <w:sz w:val="21"/>
                <w:szCs w:val="21"/>
              </w:rPr>
              <w:t>0,7%</w:t>
            </w:r>
          </w:p>
        </w:tc>
        <w:tc>
          <w:tcPr>
            <w:tcW w:w="794" w:type="dxa"/>
            <w:vAlign w:val="center"/>
          </w:tcPr>
          <w:p w:rsidR="00057FA2" w:rsidRPr="00057FA2" w:rsidRDefault="001B36C6" w:rsidP="009912AC">
            <w:pPr>
              <w:spacing w:before="40" w:after="40"/>
              <w:jc w:val="center"/>
              <w:rPr>
                <w:sz w:val="21"/>
                <w:szCs w:val="21"/>
              </w:rPr>
            </w:pPr>
            <w:r>
              <w:rPr>
                <w:sz w:val="21"/>
                <w:szCs w:val="21"/>
              </w:rPr>
              <w:t>0,6%</w:t>
            </w:r>
          </w:p>
        </w:tc>
        <w:tc>
          <w:tcPr>
            <w:tcW w:w="1247" w:type="dxa"/>
            <w:vAlign w:val="center"/>
          </w:tcPr>
          <w:p w:rsidR="00057FA2" w:rsidRPr="00057FA2" w:rsidRDefault="00057FA2" w:rsidP="00057FA2">
            <w:pPr>
              <w:spacing w:before="40" w:after="40"/>
              <w:jc w:val="center"/>
              <w:rPr>
                <w:sz w:val="21"/>
                <w:szCs w:val="21"/>
              </w:rPr>
            </w:pPr>
            <w:r w:rsidRPr="00057FA2">
              <w:rPr>
                <w:sz w:val="21"/>
                <w:szCs w:val="21"/>
              </w:rPr>
              <w:t>6,7 / 10,1%</w:t>
            </w:r>
          </w:p>
        </w:tc>
        <w:tc>
          <w:tcPr>
            <w:tcW w:w="1247" w:type="dxa"/>
            <w:vAlign w:val="center"/>
          </w:tcPr>
          <w:p w:rsidR="00057FA2" w:rsidRPr="00057FA2" w:rsidRDefault="001B36C6" w:rsidP="001B36C6">
            <w:pPr>
              <w:spacing w:before="40" w:after="40"/>
              <w:jc w:val="center"/>
              <w:rPr>
                <w:sz w:val="21"/>
                <w:szCs w:val="21"/>
              </w:rPr>
            </w:pPr>
            <w:r>
              <w:rPr>
                <w:sz w:val="21"/>
                <w:szCs w:val="21"/>
              </w:rPr>
              <w:t>4</w:t>
            </w:r>
            <w:r w:rsidR="00057FA2" w:rsidRPr="00057FA2">
              <w:rPr>
                <w:sz w:val="21"/>
                <w:szCs w:val="21"/>
              </w:rPr>
              <w:t xml:space="preserve">,7 / </w:t>
            </w:r>
            <w:r>
              <w:rPr>
                <w:sz w:val="21"/>
                <w:szCs w:val="21"/>
              </w:rPr>
              <w:t>6,5</w:t>
            </w:r>
            <w:r w:rsidR="00057FA2" w:rsidRPr="00057FA2">
              <w:rPr>
                <w:sz w:val="21"/>
                <w:szCs w:val="21"/>
              </w:rPr>
              <w:t>%</w:t>
            </w:r>
          </w:p>
        </w:tc>
      </w:tr>
      <w:tr w:rsidR="00057FA2" w:rsidRPr="0029403D" w:rsidTr="001B36C6">
        <w:trPr>
          <w:trHeight w:val="283"/>
        </w:trPr>
        <w:tc>
          <w:tcPr>
            <w:tcW w:w="2211" w:type="dxa"/>
          </w:tcPr>
          <w:p w:rsidR="00057FA2" w:rsidRPr="0029403D" w:rsidRDefault="00057FA2" w:rsidP="009912AC">
            <w:pPr>
              <w:spacing w:before="120"/>
              <w:rPr>
                <w:sz w:val="22"/>
                <w:szCs w:val="22"/>
              </w:rPr>
            </w:pPr>
            <w:r>
              <w:rPr>
                <w:sz w:val="22"/>
                <w:szCs w:val="22"/>
              </w:rPr>
              <w:t>ИМБТ</w:t>
            </w:r>
          </w:p>
        </w:tc>
        <w:tc>
          <w:tcPr>
            <w:tcW w:w="794" w:type="dxa"/>
            <w:vAlign w:val="center"/>
          </w:tcPr>
          <w:p w:rsidR="00057FA2" w:rsidRPr="00057FA2" w:rsidRDefault="00057FA2" w:rsidP="00057FA2">
            <w:pPr>
              <w:jc w:val="center"/>
              <w:rPr>
                <w:sz w:val="21"/>
                <w:szCs w:val="21"/>
              </w:rPr>
            </w:pPr>
            <w:r w:rsidRPr="00057FA2">
              <w:rPr>
                <w:sz w:val="21"/>
                <w:szCs w:val="21"/>
              </w:rPr>
              <w:t>727,6</w:t>
            </w:r>
          </w:p>
        </w:tc>
        <w:tc>
          <w:tcPr>
            <w:tcW w:w="907" w:type="dxa"/>
            <w:vAlign w:val="center"/>
          </w:tcPr>
          <w:p w:rsidR="00057FA2" w:rsidRPr="00057FA2" w:rsidRDefault="00057FA2" w:rsidP="00057FA2">
            <w:pPr>
              <w:jc w:val="center"/>
              <w:rPr>
                <w:sz w:val="21"/>
                <w:szCs w:val="21"/>
              </w:rPr>
            </w:pPr>
            <w:r w:rsidRPr="00057FA2">
              <w:rPr>
                <w:sz w:val="21"/>
                <w:szCs w:val="21"/>
              </w:rPr>
              <w:t>974,8</w:t>
            </w:r>
          </w:p>
        </w:tc>
        <w:tc>
          <w:tcPr>
            <w:tcW w:w="907" w:type="dxa"/>
            <w:vAlign w:val="center"/>
          </w:tcPr>
          <w:p w:rsidR="00057FA2" w:rsidRPr="00057FA2" w:rsidRDefault="001B36C6" w:rsidP="009912AC">
            <w:pPr>
              <w:jc w:val="center"/>
              <w:rPr>
                <w:sz w:val="21"/>
                <w:szCs w:val="21"/>
              </w:rPr>
            </w:pPr>
            <w:r>
              <w:rPr>
                <w:sz w:val="21"/>
                <w:szCs w:val="21"/>
              </w:rPr>
              <w:t>1157,8</w:t>
            </w:r>
          </w:p>
        </w:tc>
        <w:tc>
          <w:tcPr>
            <w:tcW w:w="794" w:type="dxa"/>
            <w:vAlign w:val="center"/>
          </w:tcPr>
          <w:p w:rsidR="00057FA2" w:rsidRPr="00057FA2" w:rsidRDefault="00057FA2" w:rsidP="00057FA2">
            <w:pPr>
              <w:jc w:val="center"/>
              <w:rPr>
                <w:sz w:val="21"/>
                <w:szCs w:val="21"/>
              </w:rPr>
            </w:pPr>
            <w:r w:rsidRPr="00057FA2">
              <w:rPr>
                <w:sz w:val="21"/>
                <w:szCs w:val="21"/>
              </w:rPr>
              <w:t>10,6%</w:t>
            </w:r>
          </w:p>
        </w:tc>
        <w:tc>
          <w:tcPr>
            <w:tcW w:w="794" w:type="dxa"/>
            <w:vAlign w:val="center"/>
          </w:tcPr>
          <w:p w:rsidR="00057FA2" w:rsidRPr="00057FA2" w:rsidRDefault="00057FA2" w:rsidP="00057FA2">
            <w:pPr>
              <w:jc w:val="center"/>
              <w:rPr>
                <w:sz w:val="21"/>
                <w:szCs w:val="21"/>
              </w:rPr>
            </w:pPr>
            <w:r w:rsidRPr="00057FA2">
              <w:rPr>
                <w:sz w:val="21"/>
                <w:szCs w:val="21"/>
              </w:rPr>
              <w:t>9,7%</w:t>
            </w:r>
          </w:p>
        </w:tc>
        <w:tc>
          <w:tcPr>
            <w:tcW w:w="794" w:type="dxa"/>
            <w:vAlign w:val="center"/>
          </w:tcPr>
          <w:p w:rsidR="00057FA2" w:rsidRPr="00057FA2" w:rsidRDefault="001B36C6" w:rsidP="009912AC">
            <w:pPr>
              <w:jc w:val="center"/>
              <w:rPr>
                <w:sz w:val="21"/>
                <w:szCs w:val="21"/>
              </w:rPr>
            </w:pPr>
            <w:r>
              <w:rPr>
                <w:sz w:val="21"/>
                <w:szCs w:val="21"/>
              </w:rPr>
              <w:t>9,0%</w:t>
            </w:r>
          </w:p>
        </w:tc>
        <w:tc>
          <w:tcPr>
            <w:tcW w:w="1247" w:type="dxa"/>
            <w:vAlign w:val="center"/>
          </w:tcPr>
          <w:p w:rsidR="00057FA2" w:rsidRPr="00057FA2" w:rsidRDefault="00057FA2" w:rsidP="00057FA2">
            <w:pPr>
              <w:jc w:val="center"/>
              <w:rPr>
                <w:sz w:val="21"/>
                <w:szCs w:val="21"/>
              </w:rPr>
            </w:pPr>
            <w:r w:rsidRPr="00057FA2">
              <w:rPr>
                <w:sz w:val="21"/>
                <w:szCs w:val="21"/>
              </w:rPr>
              <w:t>247,2 / 34,0%</w:t>
            </w:r>
          </w:p>
        </w:tc>
        <w:tc>
          <w:tcPr>
            <w:tcW w:w="1247" w:type="dxa"/>
            <w:vAlign w:val="center"/>
          </w:tcPr>
          <w:p w:rsidR="00057FA2" w:rsidRPr="00057FA2" w:rsidRDefault="001B36C6" w:rsidP="001B36C6">
            <w:pPr>
              <w:jc w:val="center"/>
              <w:rPr>
                <w:sz w:val="21"/>
                <w:szCs w:val="21"/>
              </w:rPr>
            </w:pPr>
            <w:r>
              <w:rPr>
                <w:sz w:val="21"/>
                <w:szCs w:val="21"/>
              </w:rPr>
              <w:t>183,0</w:t>
            </w:r>
            <w:r w:rsidR="00057FA2" w:rsidRPr="00057FA2">
              <w:rPr>
                <w:sz w:val="21"/>
                <w:szCs w:val="21"/>
              </w:rPr>
              <w:t xml:space="preserve"> / </w:t>
            </w:r>
            <w:r>
              <w:rPr>
                <w:sz w:val="21"/>
                <w:szCs w:val="21"/>
              </w:rPr>
              <w:t>18,8</w:t>
            </w:r>
            <w:r w:rsidR="00057FA2" w:rsidRPr="00057FA2">
              <w:rPr>
                <w:sz w:val="21"/>
                <w:szCs w:val="21"/>
              </w:rPr>
              <w:t>%</w:t>
            </w:r>
          </w:p>
        </w:tc>
      </w:tr>
      <w:tr w:rsidR="00057FA2" w:rsidRPr="0029403D" w:rsidTr="001B36C6">
        <w:trPr>
          <w:trHeight w:val="283"/>
        </w:trPr>
        <w:tc>
          <w:tcPr>
            <w:tcW w:w="2211" w:type="dxa"/>
          </w:tcPr>
          <w:p w:rsidR="00057FA2" w:rsidRPr="009912AC" w:rsidRDefault="00057FA2" w:rsidP="009912AC">
            <w:pPr>
              <w:rPr>
                <w:spacing w:val="-8"/>
                <w:sz w:val="22"/>
                <w:szCs w:val="22"/>
              </w:rPr>
            </w:pPr>
            <w:r w:rsidRPr="009912AC">
              <w:rPr>
                <w:spacing w:val="-8"/>
                <w:sz w:val="22"/>
                <w:szCs w:val="22"/>
              </w:rPr>
              <w:t>Возврат остатков МБТ</w:t>
            </w:r>
          </w:p>
        </w:tc>
        <w:tc>
          <w:tcPr>
            <w:tcW w:w="794" w:type="dxa"/>
            <w:vAlign w:val="center"/>
          </w:tcPr>
          <w:p w:rsidR="00057FA2" w:rsidRPr="00057FA2" w:rsidRDefault="00057FA2" w:rsidP="00057FA2">
            <w:pPr>
              <w:jc w:val="center"/>
              <w:rPr>
                <w:sz w:val="21"/>
                <w:szCs w:val="21"/>
              </w:rPr>
            </w:pPr>
            <w:r w:rsidRPr="00057FA2">
              <w:rPr>
                <w:sz w:val="21"/>
                <w:szCs w:val="21"/>
              </w:rPr>
              <w:t>-452,9</w:t>
            </w:r>
          </w:p>
        </w:tc>
        <w:tc>
          <w:tcPr>
            <w:tcW w:w="907" w:type="dxa"/>
            <w:vAlign w:val="center"/>
          </w:tcPr>
          <w:p w:rsidR="00057FA2" w:rsidRPr="00057FA2" w:rsidRDefault="00057FA2" w:rsidP="00057FA2">
            <w:pPr>
              <w:jc w:val="center"/>
              <w:rPr>
                <w:sz w:val="21"/>
                <w:szCs w:val="21"/>
              </w:rPr>
            </w:pPr>
            <w:r w:rsidRPr="00057FA2">
              <w:rPr>
                <w:sz w:val="21"/>
                <w:szCs w:val="21"/>
              </w:rPr>
              <w:t>-25,3</w:t>
            </w:r>
          </w:p>
        </w:tc>
        <w:tc>
          <w:tcPr>
            <w:tcW w:w="907" w:type="dxa"/>
            <w:vAlign w:val="center"/>
          </w:tcPr>
          <w:p w:rsidR="00057FA2" w:rsidRPr="00057FA2" w:rsidRDefault="00057FA2" w:rsidP="009912AC">
            <w:pPr>
              <w:jc w:val="center"/>
              <w:rPr>
                <w:sz w:val="21"/>
                <w:szCs w:val="21"/>
              </w:rPr>
            </w:pPr>
          </w:p>
        </w:tc>
        <w:tc>
          <w:tcPr>
            <w:tcW w:w="794" w:type="dxa"/>
            <w:vAlign w:val="center"/>
          </w:tcPr>
          <w:p w:rsidR="00057FA2" w:rsidRPr="00057FA2" w:rsidRDefault="00057FA2" w:rsidP="00E34912">
            <w:pPr>
              <w:jc w:val="center"/>
              <w:rPr>
                <w:sz w:val="21"/>
                <w:szCs w:val="21"/>
              </w:rPr>
            </w:pPr>
          </w:p>
        </w:tc>
        <w:tc>
          <w:tcPr>
            <w:tcW w:w="794" w:type="dxa"/>
            <w:vAlign w:val="center"/>
          </w:tcPr>
          <w:p w:rsidR="00057FA2" w:rsidRPr="00057FA2" w:rsidRDefault="00057FA2" w:rsidP="00E34912">
            <w:pPr>
              <w:jc w:val="center"/>
              <w:rPr>
                <w:sz w:val="21"/>
                <w:szCs w:val="21"/>
              </w:rPr>
            </w:pPr>
          </w:p>
        </w:tc>
        <w:tc>
          <w:tcPr>
            <w:tcW w:w="794" w:type="dxa"/>
            <w:vAlign w:val="center"/>
          </w:tcPr>
          <w:p w:rsidR="00057FA2" w:rsidRPr="00057FA2" w:rsidRDefault="00057FA2" w:rsidP="009912AC">
            <w:pPr>
              <w:jc w:val="center"/>
              <w:rPr>
                <w:sz w:val="21"/>
                <w:szCs w:val="21"/>
              </w:rPr>
            </w:pPr>
          </w:p>
        </w:tc>
        <w:tc>
          <w:tcPr>
            <w:tcW w:w="1247" w:type="dxa"/>
            <w:vAlign w:val="center"/>
          </w:tcPr>
          <w:p w:rsidR="00057FA2" w:rsidRPr="00057FA2" w:rsidRDefault="00057FA2" w:rsidP="00057FA2">
            <w:pPr>
              <w:jc w:val="center"/>
              <w:rPr>
                <w:sz w:val="21"/>
                <w:szCs w:val="21"/>
              </w:rPr>
            </w:pPr>
          </w:p>
        </w:tc>
        <w:tc>
          <w:tcPr>
            <w:tcW w:w="1247" w:type="dxa"/>
            <w:vAlign w:val="center"/>
          </w:tcPr>
          <w:p w:rsidR="00057FA2" w:rsidRPr="00057FA2" w:rsidRDefault="00057FA2" w:rsidP="009912AC">
            <w:pPr>
              <w:jc w:val="center"/>
              <w:rPr>
                <w:sz w:val="21"/>
                <w:szCs w:val="21"/>
              </w:rPr>
            </w:pPr>
          </w:p>
        </w:tc>
      </w:tr>
      <w:tr w:rsidR="00057FA2" w:rsidRPr="0029403D" w:rsidTr="001B36C6">
        <w:tc>
          <w:tcPr>
            <w:tcW w:w="2211" w:type="dxa"/>
          </w:tcPr>
          <w:p w:rsidR="00057FA2" w:rsidRPr="0029403D" w:rsidRDefault="00057FA2" w:rsidP="002E14C6">
            <w:pPr>
              <w:rPr>
                <w:b/>
                <w:sz w:val="22"/>
                <w:szCs w:val="22"/>
              </w:rPr>
            </w:pPr>
            <w:r w:rsidRPr="0029403D">
              <w:rPr>
                <w:b/>
                <w:sz w:val="22"/>
                <w:szCs w:val="22"/>
              </w:rPr>
              <w:t>Итого безвозмез</w:t>
            </w:r>
            <w:r w:rsidRPr="0029403D">
              <w:rPr>
                <w:b/>
                <w:sz w:val="22"/>
                <w:szCs w:val="22"/>
              </w:rPr>
              <w:t>д</w:t>
            </w:r>
            <w:r w:rsidRPr="0029403D">
              <w:rPr>
                <w:b/>
                <w:sz w:val="22"/>
                <w:szCs w:val="22"/>
              </w:rPr>
              <w:t>ных поступлений</w:t>
            </w:r>
          </w:p>
        </w:tc>
        <w:tc>
          <w:tcPr>
            <w:tcW w:w="794" w:type="dxa"/>
            <w:vAlign w:val="center"/>
          </w:tcPr>
          <w:p w:rsidR="00057FA2" w:rsidRPr="00057FA2" w:rsidRDefault="00057FA2" w:rsidP="00057FA2">
            <w:pPr>
              <w:jc w:val="center"/>
              <w:rPr>
                <w:b/>
                <w:sz w:val="21"/>
                <w:szCs w:val="21"/>
              </w:rPr>
            </w:pPr>
            <w:r w:rsidRPr="00057FA2">
              <w:rPr>
                <w:b/>
                <w:sz w:val="21"/>
                <w:szCs w:val="21"/>
              </w:rPr>
              <w:t>6894,3</w:t>
            </w:r>
          </w:p>
        </w:tc>
        <w:tc>
          <w:tcPr>
            <w:tcW w:w="907" w:type="dxa"/>
            <w:vAlign w:val="center"/>
          </w:tcPr>
          <w:p w:rsidR="00057FA2" w:rsidRPr="00057FA2" w:rsidRDefault="00057FA2" w:rsidP="00057FA2">
            <w:pPr>
              <w:jc w:val="center"/>
              <w:rPr>
                <w:b/>
                <w:sz w:val="21"/>
                <w:szCs w:val="21"/>
              </w:rPr>
            </w:pPr>
            <w:r w:rsidRPr="00057FA2">
              <w:rPr>
                <w:b/>
                <w:sz w:val="21"/>
                <w:szCs w:val="21"/>
              </w:rPr>
              <w:t>10024,5</w:t>
            </w:r>
          </w:p>
        </w:tc>
        <w:tc>
          <w:tcPr>
            <w:tcW w:w="907" w:type="dxa"/>
            <w:vAlign w:val="center"/>
          </w:tcPr>
          <w:p w:rsidR="00057FA2" w:rsidRPr="00057FA2" w:rsidRDefault="001B36C6" w:rsidP="00877B5F">
            <w:pPr>
              <w:jc w:val="center"/>
              <w:rPr>
                <w:b/>
                <w:sz w:val="21"/>
                <w:szCs w:val="21"/>
              </w:rPr>
            </w:pPr>
            <w:r>
              <w:rPr>
                <w:b/>
                <w:sz w:val="21"/>
                <w:szCs w:val="21"/>
              </w:rPr>
              <w:t>12915,9</w:t>
            </w:r>
          </w:p>
        </w:tc>
        <w:tc>
          <w:tcPr>
            <w:tcW w:w="794" w:type="dxa"/>
            <w:vAlign w:val="center"/>
          </w:tcPr>
          <w:p w:rsidR="00057FA2" w:rsidRPr="00057FA2" w:rsidRDefault="00057FA2" w:rsidP="00877B5F">
            <w:pPr>
              <w:jc w:val="center"/>
              <w:rPr>
                <w:b/>
                <w:sz w:val="21"/>
                <w:szCs w:val="21"/>
              </w:rPr>
            </w:pPr>
            <w:r w:rsidRPr="00057FA2">
              <w:rPr>
                <w:b/>
                <w:sz w:val="21"/>
                <w:szCs w:val="21"/>
              </w:rPr>
              <w:t>100%</w:t>
            </w:r>
          </w:p>
        </w:tc>
        <w:tc>
          <w:tcPr>
            <w:tcW w:w="794" w:type="dxa"/>
            <w:vAlign w:val="center"/>
          </w:tcPr>
          <w:p w:rsidR="00057FA2" w:rsidRPr="00057FA2" w:rsidRDefault="00057FA2" w:rsidP="00877B5F">
            <w:pPr>
              <w:jc w:val="center"/>
              <w:rPr>
                <w:b/>
                <w:sz w:val="21"/>
                <w:szCs w:val="21"/>
              </w:rPr>
            </w:pPr>
            <w:r w:rsidRPr="00057FA2">
              <w:rPr>
                <w:b/>
                <w:sz w:val="21"/>
                <w:szCs w:val="21"/>
              </w:rPr>
              <w:t>100%</w:t>
            </w:r>
          </w:p>
        </w:tc>
        <w:tc>
          <w:tcPr>
            <w:tcW w:w="794" w:type="dxa"/>
            <w:vAlign w:val="center"/>
          </w:tcPr>
          <w:p w:rsidR="00057FA2" w:rsidRPr="00057FA2" w:rsidRDefault="00057FA2" w:rsidP="00877B5F">
            <w:pPr>
              <w:jc w:val="center"/>
              <w:rPr>
                <w:b/>
                <w:sz w:val="21"/>
                <w:szCs w:val="21"/>
              </w:rPr>
            </w:pPr>
            <w:r w:rsidRPr="00057FA2">
              <w:rPr>
                <w:b/>
                <w:sz w:val="21"/>
                <w:szCs w:val="21"/>
              </w:rPr>
              <w:t>100%</w:t>
            </w:r>
          </w:p>
        </w:tc>
        <w:tc>
          <w:tcPr>
            <w:tcW w:w="1247" w:type="dxa"/>
            <w:vAlign w:val="center"/>
          </w:tcPr>
          <w:p w:rsidR="00057FA2" w:rsidRPr="00057FA2" w:rsidRDefault="00057FA2" w:rsidP="00057FA2">
            <w:pPr>
              <w:jc w:val="center"/>
              <w:rPr>
                <w:b/>
                <w:sz w:val="21"/>
                <w:szCs w:val="21"/>
              </w:rPr>
            </w:pPr>
            <w:r w:rsidRPr="00057FA2">
              <w:rPr>
                <w:b/>
                <w:sz w:val="21"/>
                <w:szCs w:val="21"/>
              </w:rPr>
              <w:t>3130,2 / 45,4%</w:t>
            </w:r>
          </w:p>
        </w:tc>
        <w:tc>
          <w:tcPr>
            <w:tcW w:w="1247" w:type="dxa"/>
            <w:vAlign w:val="center"/>
          </w:tcPr>
          <w:p w:rsidR="00057FA2" w:rsidRPr="00057FA2" w:rsidRDefault="001B36C6" w:rsidP="001B36C6">
            <w:pPr>
              <w:jc w:val="center"/>
              <w:rPr>
                <w:b/>
                <w:sz w:val="21"/>
                <w:szCs w:val="21"/>
              </w:rPr>
            </w:pPr>
            <w:r>
              <w:rPr>
                <w:b/>
                <w:sz w:val="21"/>
                <w:szCs w:val="21"/>
              </w:rPr>
              <w:t>2891,4</w:t>
            </w:r>
            <w:r w:rsidR="00057FA2" w:rsidRPr="00057FA2">
              <w:rPr>
                <w:b/>
                <w:sz w:val="21"/>
                <w:szCs w:val="21"/>
              </w:rPr>
              <w:t xml:space="preserve"> / </w:t>
            </w:r>
            <w:r>
              <w:rPr>
                <w:b/>
                <w:sz w:val="21"/>
                <w:szCs w:val="21"/>
              </w:rPr>
              <w:t>28,8</w:t>
            </w:r>
            <w:r w:rsidR="00057FA2" w:rsidRPr="00057FA2">
              <w:rPr>
                <w:b/>
                <w:sz w:val="21"/>
                <w:szCs w:val="21"/>
              </w:rPr>
              <w:t>%</w:t>
            </w:r>
          </w:p>
        </w:tc>
      </w:tr>
    </w:tbl>
    <w:p w:rsidR="005F6890" w:rsidRPr="0029403D" w:rsidRDefault="006546A7" w:rsidP="00EA4F3B">
      <w:pPr>
        <w:pStyle w:val="1"/>
      </w:pPr>
      <w:r w:rsidRPr="0029403D">
        <w:t>5</w:t>
      </w:r>
      <w:r w:rsidR="00765A98" w:rsidRPr="0029403D">
        <w:t>. </w:t>
      </w:r>
      <w:r w:rsidR="005F6890" w:rsidRPr="0029403D">
        <w:t xml:space="preserve">Анализ </w:t>
      </w:r>
      <w:r w:rsidR="00287802" w:rsidRPr="0029403D">
        <w:t>исполнения</w:t>
      </w:r>
      <w:r w:rsidR="005F6890" w:rsidRPr="0029403D">
        <w:t xml:space="preserve"> расходов </w:t>
      </w:r>
      <w:r w:rsidR="00882C08" w:rsidRPr="0029403D">
        <w:t>местного бюджета</w:t>
      </w:r>
    </w:p>
    <w:p w:rsidR="00AA37C4" w:rsidRDefault="00AA37C4" w:rsidP="00AA37C4">
      <w:pPr>
        <w:ind w:firstLine="567"/>
        <w:jc w:val="both"/>
      </w:pPr>
      <w:r w:rsidRPr="004E49FA">
        <w:t xml:space="preserve">Местный бюджет на </w:t>
      </w:r>
      <w:r>
        <w:t>2015</w:t>
      </w:r>
      <w:r w:rsidRPr="004E49FA">
        <w:t xml:space="preserve"> год по </w:t>
      </w:r>
      <w:r>
        <w:t>рас</w:t>
      </w:r>
      <w:r w:rsidRPr="004E49FA">
        <w:t>ходам в объёме</w:t>
      </w:r>
      <w:r>
        <w:t xml:space="preserve"> 6881,2</w:t>
      </w:r>
      <w:r w:rsidRPr="004E49FA">
        <w:t xml:space="preserve"> тыс. руб. утверждён реш</w:t>
      </w:r>
      <w:r w:rsidRPr="004E49FA">
        <w:t>е</w:t>
      </w:r>
      <w:r w:rsidRPr="004E49FA">
        <w:t>ни</w:t>
      </w:r>
      <w:r>
        <w:t>ем 35</w:t>
      </w:r>
      <w:r w:rsidRPr="004E49FA">
        <w:t xml:space="preserve"> сессии 4 созыва Совета депутатов </w:t>
      </w:r>
      <w:r>
        <w:t>Карган</w:t>
      </w:r>
      <w:r w:rsidRPr="004E49FA">
        <w:t>ского сельсовета Каргатского района Н</w:t>
      </w:r>
      <w:r w:rsidRPr="004E49FA">
        <w:t>о</w:t>
      </w:r>
      <w:r w:rsidRPr="004E49FA">
        <w:t xml:space="preserve">восибирской области от </w:t>
      </w:r>
      <w:r>
        <w:t>23</w:t>
      </w:r>
      <w:r w:rsidRPr="004E49FA">
        <w:t>.12.</w:t>
      </w:r>
      <w:r>
        <w:t>2014</w:t>
      </w:r>
      <w:r w:rsidRPr="004E49FA">
        <w:t xml:space="preserve"> №</w:t>
      </w:r>
      <w:r>
        <w:t xml:space="preserve"> 165</w:t>
      </w:r>
      <w:r w:rsidRPr="00816F79">
        <w:t>.</w:t>
      </w:r>
    </w:p>
    <w:p w:rsidR="00AA37C4" w:rsidRDefault="00AA37C4" w:rsidP="00AA37C4">
      <w:pPr>
        <w:spacing w:before="40"/>
        <w:ind w:firstLine="567"/>
        <w:jc w:val="both"/>
      </w:pPr>
      <w:proofErr w:type="gramStart"/>
      <w:r w:rsidRPr="00816F79">
        <w:lastRenderedPageBreak/>
        <w:t>Решени</w:t>
      </w:r>
      <w:r>
        <w:t xml:space="preserve">ями от 29.01.2015 № </w:t>
      </w:r>
      <w:r w:rsidRPr="00AA37C4">
        <w:t>172</w:t>
      </w:r>
      <w:r>
        <w:t xml:space="preserve">, от 16.03.2015 № 179, от 27.05.2015 № 185, от 19.06.2015 № 193, от 28.08.2015 № 196, от 24.11.2015 № 9-а, от 25.12.2015 № 12 </w:t>
      </w:r>
      <w:r w:rsidRPr="00816F79">
        <w:t>были внес</w:t>
      </w:r>
      <w:r w:rsidRPr="00816F79">
        <w:t>е</w:t>
      </w:r>
      <w:r w:rsidRPr="00816F79">
        <w:t xml:space="preserve">ны изменения в плановые назначения по </w:t>
      </w:r>
      <w:r>
        <w:t>рас</w:t>
      </w:r>
      <w:r w:rsidRPr="00816F79">
        <w:t>ходам.</w:t>
      </w:r>
      <w:proofErr w:type="gramEnd"/>
      <w:r w:rsidRPr="00816F79">
        <w:t xml:space="preserve"> В </w:t>
      </w:r>
      <w:r>
        <w:t>последней редакции уточнённый о</w:t>
      </w:r>
      <w:r>
        <w:t>б</w:t>
      </w:r>
      <w:r>
        <w:t>щий объём</w:t>
      </w:r>
      <w:r w:rsidRPr="00816F79">
        <w:t xml:space="preserve"> </w:t>
      </w:r>
      <w:r>
        <w:t>рас</w:t>
      </w:r>
      <w:r w:rsidRPr="00816F79">
        <w:t>ход</w:t>
      </w:r>
      <w:r>
        <w:t>ов</w:t>
      </w:r>
      <w:r w:rsidRPr="00816F79">
        <w:t xml:space="preserve"> составляет </w:t>
      </w:r>
      <w:r w:rsidR="00CA5EBE">
        <w:t>14308,5</w:t>
      </w:r>
      <w:r w:rsidRPr="00816F79">
        <w:t xml:space="preserve"> тыс. руб.</w:t>
      </w:r>
    </w:p>
    <w:p w:rsidR="00480BE0" w:rsidRPr="008E497E" w:rsidRDefault="00AA37C4" w:rsidP="00AA37C4">
      <w:pPr>
        <w:spacing w:before="40"/>
        <w:ind w:firstLine="567"/>
        <w:jc w:val="both"/>
      </w:pPr>
      <w:r w:rsidRPr="0029403D">
        <w:t xml:space="preserve">В отчёте об исполнении местного бюджета за </w:t>
      </w:r>
      <w:r>
        <w:t>2015</w:t>
      </w:r>
      <w:r w:rsidRPr="0029403D">
        <w:t xml:space="preserve"> год плановый показатель по </w:t>
      </w:r>
      <w:r>
        <w:t>рас</w:t>
      </w:r>
      <w:r w:rsidRPr="0029403D">
        <w:t>х</w:t>
      </w:r>
      <w:r w:rsidRPr="0029403D">
        <w:t>о</w:t>
      </w:r>
      <w:r w:rsidRPr="0029403D">
        <w:t xml:space="preserve">дам составляет </w:t>
      </w:r>
      <w:r w:rsidR="00CA5EBE">
        <w:t>14308,5</w:t>
      </w:r>
      <w:r w:rsidRPr="00816F79">
        <w:t xml:space="preserve"> </w:t>
      </w:r>
      <w:r>
        <w:t xml:space="preserve">тыс. руб. </w:t>
      </w:r>
      <w:r w:rsidRPr="00232FCE">
        <w:t xml:space="preserve">Тем самым </w:t>
      </w:r>
      <w:r>
        <w:t xml:space="preserve">соблюдается статья 32 БК РФ и </w:t>
      </w:r>
      <w:r w:rsidR="008E497E">
        <w:t>выполняется</w:t>
      </w:r>
      <w:r w:rsidR="00480BE0" w:rsidRPr="008E497E">
        <w:t xml:space="preserve"> пункт 3 статьи 217 БК РФ:</w:t>
      </w:r>
    </w:p>
    <w:p w:rsidR="00480BE0" w:rsidRPr="00B37DFE" w:rsidRDefault="00480BE0" w:rsidP="00480BE0">
      <w:pPr>
        <w:spacing w:before="20"/>
        <w:ind w:firstLine="567"/>
        <w:jc w:val="both"/>
        <w:rPr>
          <w:i/>
          <w:sz w:val="20"/>
          <w:szCs w:val="20"/>
        </w:rPr>
      </w:pPr>
      <w:r w:rsidRPr="00B37DFE">
        <w:rPr>
          <w:i/>
          <w:sz w:val="20"/>
          <w:szCs w:val="20"/>
        </w:rPr>
        <w:t>«Утвержденные показатели сводной бюджетной росписи должны соответствовать закону (решению) о бюджете».</w:t>
      </w:r>
    </w:p>
    <w:p w:rsidR="00AA37C4" w:rsidRPr="009812F5" w:rsidRDefault="00AA37C4" w:rsidP="00AA37C4">
      <w:pPr>
        <w:spacing w:before="60"/>
        <w:ind w:firstLine="567"/>
        <w:jc w:val="both"/>
      </w:pPr>
      <w:r>
        <w:rPr>
          <w:b/>
          <w:i/>
        </w:rPr>
        <w:t>В</w:t>
      </w:r>
      <w:r w:rsidRPr="009B52A6">
        <w:rPr>
          <w:b/>
          <w:i/>
        </w:rPr>
        <w:t xml:space="preserve"> нарушение пункта 1 статьи 184.1 БК РФ</w:t>
      </w:r>
      <w:r>
        <w:t xml:space="preserve"> в решениях о внесении изменений в р</w:t>
      </w:r>
      <w:r>
        <w:t>е</w:t>
      </w:r>
      <w:r>
        <w:t xml:space="preserve">шение о </w:t>
      </w:r>
      <w:r w:rsidRPr="009812F5">
        <w:t xml:space="preserve">бюджете не содержится информация об общем объёме </w:t>
      </w:r>
      <w:r>
        <w:t>расходов бюджета.</w:t>
      </w:r>
    </w:p>
    <w:p w:rsidR="00DB1053" w:rsidRPr="0029403D" w:rsidRDefault="00DB1053" w:rsidP="00CC3F8A">
      <w:pPr>
        <w:spacing w:before="60"/>
        <w:ind w:firstLine="567"/>
        <w:jc w:val="both"/>
      </w:pPr>
      <w:r w:rsidRPr="0029403D">
        <w:t xml:space="preserve">Исполнение местного бюджета по расходам за </w:t>
      </w:r>
      <w:r w:rsidR="00057FA2">
        <w:t>2015</w:t>
      </w:r>
      <w:r w:rsidRPr="0029403D">
        <w:t xml:space="preserve"> год составило </w:t>
      </w:r>
      <w:r w:rsidR="00CA5EBE">
        <w:t>8343,7</w:t>
      </w:r>
      <w:r w:rsidRPr="0029403D">
        <w:t xml:space="preserve"> тыс. </w:t>
      </w:r>
      <w:r w:rsidR="00CA485C" w:rsidRPr="0029403D">
        <w:t>руб.</w:t>
      </w:r>
      <w:r w:rsidRPr="0029403D">
        <w:t xml:space="preserve"> или </w:t>
      </w:r>
      <w:r w:rsidR="00CA5EBE">
        <w:t>58</w:t>
      </w:r>
      <w:r w:rsidR="008E497E">
        <w:t>,3</w:t>
      </w:r>
      <w:r w:rsidRPr="0029403D">
        <w:t>% к плану</w:t>
      </w:r>
      <w:r w:rsidR="00EE52AC">
        <w:t xml:space="preserve"> </w:t>
      </w:r>
      <w:r w:rsidR="00667AE3" w:rsidRPr="0029403D">
        <w:t>(</w:t>
      </w:r>
      <w:r w:rsidR="00D01A8F">
        <w:t>недоисполнение</w:t>
      </w:r>
      <w:r w:rsidR="00667AE3" w:rsidRPr="0029403D">
        <w:t xml:space="preserve"> – </w:t>
      </w:r>
      <w:r w:rsidR="00CA5EBE">
        <w:t>5964,8</w:t>
      </w:r>
      <w:r w:rsidR="00667AE3" w:rsidRPr="0029403D">
        <w:t xml:space="preserve"> тыс. руб.)</w:t>
      </w:r>
      <w:r w:rsidRPr="0029403D">
        <w:t>.</w:t>
      </w:r>
    </w:p>
    <w:p w:rsidR="00C62F03" w:rsidRPr="0029403D" w:rsidRDefault="00C62F03" w:rsidP="00CC3F8A">
      <w:pPr>
        <w:spacing w:before="60"/>
        <w:ind w:firstLine="567"/>
        <w:jc w:val="both"/>
      </w:pPr>
      <w:r w:rsidRPr="0029403D">
        <w:t xml:space="preserve">Информация о структуре и динамике расходов </w:t>
      </w:r>
      <w:r w:rsidR="00882C08" w:rsidRPr="0029403D">
        <w:t>местного бюджета</w:t>
      </w:r>
      <w:r w:rsidRPr="0029403D">
        <w:t xml:space="preserve"> в </w:t>
      </w:r>
      <w:r w:rsidR="00057FA2">
        <w:t>2013</w:t>
      </w:r>
      <w:r w:rsidR="00D912C8" w:rsidRPr="0029403D">
        <w:t>-</w:t>
      </w:r>
      <w:r w:rsidR="00057FA2">
        <w:t>2015</w:t>
      </w:r>
      <w:r w:rsidR="00D912C8" w:rsidRPr="0029403D">
        <w:t xml:space="preserve"> годах</w:t>
      </w:r>
      <w:r w:rsidRPr="0029403D">
        <w:t xml:space="preserve"> представлена в </w:t>
      </w:r>
      <w:r w:rsidR="00D912C8" w:rsidRPr="0029403D">
        <w:t xml:space="preserve">таблице </w:t>
      </w:r>
      <w:r w:rsidR="00975291">
        <w:t>4</w:t>
      </w:r>
      <w:r w:rsidRPr="0029403D">
        <w:t>.</w:t>
      </w:r>
    </w:p>
    <w:p w:rsidR="00D912C8" w:rsidRPr="0029403D" w:rsidRDefault="00D912C8" w:rsidP="00975291">
      <w:pPr>
        <w:spacing w:before="120" w:after="120"/>
        <w:ind w:firstLine="567"/>
        <w:jc w:val="center"/>
        <w:rPr>
          <w:sz w:val="22"/>
          <w:szCs w:val="22"/>
        </w:rPr>
      </w:pPr>
      <w:r w:rsidRPr="0029403D">
        <w:rPr>
          <w:sz w:val="22"/>
          <w:szCs w:val="22"/>
        </w:rPr>
        <w:t xml:space="preserve">Таблица </w:t>
      </w:r>
      <w:r w:rsidR="00975291">
        <w:rPr>
          <w:sz w:val="22"/>
          <w:szCs w:val="22"/>
        </w:rPr>
        <w:t>4</w:t>
      </w:r>
      <w:r w:rsidRPr="0029403D">
        <w:rPr>
          <w:sz w:val="22"/>
          <w:szCs w:val="22"/>
        </w:rPr>
        <w:t>. Анализ структуры расходов местного бюджета, тыс. руб.</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8"/>
        <w:gridCol w:w="850"/>
        <w:gridCol w:w="907"/>
        <w:gridCol w:w="851"/>
        <w:gridCol w:w="794"/>
        <w:gridCol w:w="794"/>
        <w:gridCol w:w="794"/>
        <w:gridCol w:w="1191"/>
        <w:gridCol w:w="1191"/>
      </w:tblGrid>
      <w:tr w:rsidR="004B6B0C" w:rsidRPr="0029403D" w:rsidTr="00057FA2">
        <w:trPr>
          <w:trHeight w:val="250"/>
        </w:trPr>
        <w:tc>
          <w:tcPr>
            <w:tcW w:w="2438" w:type="dxa"/>
            <w:vMerge w:val="restart"/>
          </w:tcPr>
          <w:p w:rsidR="004B6B0C" w:rsidRPr="0029403D" w:rsidRDefault="004B6B0C" w:rsidP="00D34823">
            <w:pPr>
              <w:spacing w:before="120"/>
              <w:jc w:val="center"/>
              <w:rPr>
                <w:i/>
                <w:sz w:val="20"/>
                <w:szCs w:val="20"/>
              </w:rPr>
            </w:pPr>
            <w:r w:rsidRPr="0029403D">
              <w:rPr>
                <w:i/>
                <w:sz w:val="20"/>
                <w:szCs w:val="20"/>
              </w:rPr>
              <w:t>Наименование статей расходов</w:t>
            </w:r>
          </w:p>
        </w:tc>
        <w:tc>
          <w:tcPr>
            <w:tcW w:w="2608" w:type="dxa"/>
            <w:gridSpan w:val="3"/>
            <w:vAlign w:val="center"/>
          </w:tcPr>
          <w:p w:rsidR="004B6B0C" w:rsidRPr="0029403D" w:rsidRDefault="004B6B0C" w:rsidP="002E14C6">
            <w:pPr>
              <w:jc w:val="center"/>
              <w:rPr>
                <w:i/>
                <w:sz w:val="20"/>
                <w:szCs w:val="20"/>
              </w:rPr>
            </w:pPr>
            <w:r w:rsidRPr="0029403D">
              <w:rPr>
                <w:i/>
                <w:sz w:val="20"/>
                <w:szCs w:val="20"/>
              </w:rPr>
              <w:t>Исполнение бюджета</w:t>
            </w:r>
          </w:p>
        </w:tc>
        <w:tc>
          <w:tcPr>
            <w:tcW w:w="2382" w:type="dxa"/>
            <w:gridSpan w:val="3"/>
          </w:tcPr>
          <w:p w:rsidR="004B6B0C" w:rsidRPr="0029403D" w:rsidRDefault="004B6B0C" w:rsidP="00D34823">
            <w:pPr>
              <w:spacing w:before="120"/>
              <w:jc w:val="center"/>
              <w:rPr>
                <w:i/>
                <w:sz w:val="20"/>
                <w:szCs w:val="20"/>
              </w:rPr>
            </w:pPr>
            <w:r w:rsidRPr="0029403D">
              <w:rPr>
                <w:i/>
                <w:sz w:val="20"/>
                <w:szCs w:val="20"/>
              </w:rPr>
              <w:t>Доля в общих расходах</w:t>
            </w:r>
          </w:p>
        </w:tc>
        <w:tc>
          <w:tcPr>
            <w:tcW w:w="2382" w:type="dxa"/>
            <w:gridSpan w:val="2"/>
            <w:vAlign w:val="center"/>
          </w:tcPr>
          <w:p w:rsidR="004B6B0C" w:rsidRPr="0029403D" w:rsidRDefault="004B6B0C" w:rsidP="00A20F54">
            <w:pPr>
              <w:jc w:val="center"/>
              <w:rPr>
                <w:i/>
                <w:sz w:val="20"/>
                <w:szCs w:val="20"/>
              </w:rPr>
            </w:pPr>
            <w:r w:rsidRPr="0029403D">
              <w:rPr>
                <w:i/>
                <w:sz w:val="20"/>
                <w:szCs w:val="20"/>
              </w:rPr>
              <w:t>Абсолютный прирост (тыс. руб./проценты)</w:t>
            </w:r>
          </w:p>
        </w:tc>
      </w:tr>
      <w:tr w:rsidR="004B6B0C" w:rsidRPr="0029403D" w:rsidTr="00057FA2">
        <w:trPr>
          <w:trHeight w:val="250"/>
        </w:trPr>
        <w:tc>
          <w:tcPr>
            <w:tcW w:w="2438" w:type="dxa"/>
            <w:vMerge/>
          </w:tcPr>
          <w:p w:rsidR="004B6B0C" w:rsidRPr="0029403D" w:rsidRDefault="004B6B0C" w:rsidP="002E14C6">
            <w:pPr>
              <w:jc w:val="center"/>
              <w:rPr>
                <w:i/>
                <w:sz w:val="20"/>
                <w:szCs w:val="20"/>
              </w:rPr>
            </w:pPr>
          </w:p>
        </w:tc>
        <w:tc>
          <w:tcPr>
            <w:tcW w:w="850" w:type="dxa"/>
          </w:tcPr>
          <w:p w:rsidR="004B6B0C" w:rsidRPr="0029403D" w:rsidRDefault="00057FA2" w:rsidP="00D34823">
            <w:pPr>
              <w:spacing w:before="20" w:after="20"/>
              <w:jc w:val="center"/>
              <w:rPr>
                <w:i/>
                <w:sz w:val="20"/>
                <w:szCs w:val="20"/>
              </w:rPr>
            </w:pPr>
            <w:r>
              <w:rPr>
                <w:i/>
                <w:sz w:val="20"/>
                <w:szCs w:val="20"/>
              </w:rPr>
              <w:t>2013</w:t>
            </w:r>
          </w:p>
        </w:tc>
        <w:tc>
          <w:tcPr>
            <w:tcW w:w="907" w:type="dxa"/>
          </w:tcPr>
          <w:p w:rsidR="004B6B0C" w:rsidRPr="0029403D" w:rsidRDefault="00057FA2" w:rsidP="00D34823">
            <w:pPr>
              <w:spacing w:before="20" w:after="20"/>
              <w:jc w:val="center"/>
              <w:rPr>
                <w:i/>
                <w:sz w:val="20"/>
                <w:szCs w:val="20"/>
              </w:rPr>
            </w:pPr>
            <w:r>
              <w:rPr>
                <w:i/>
                <w:sz w:val="20"/>
                <w:szCs w:val="20"/>
              </w:rPr>
              <w:t>2014</w:t>
            </w:r>
          </w:p>
        </w:tc>
        <w:tc>
          <w:tcPr>
            <w:tcW w:w="851" w:type="dxa"/>
          </w:tcPr>
          <w:p w:rsidR="004B6B0C" w:rsidRPr="0029403D" w:rsidRDefault="00057FA2" w:rsidP="00D34823">
            <w:pPr>
              <w:spacing w:before="20" w:after="20"/>
              <w:jc w:val="center"/>
              <w:rPr>
                <w:i/>
                <w:sz w:val="20"/>
                <w:szCs w:val="20"/>
              </w:rPr>
            </w:pPr>
            <w:r>
              <w:rPr>
                <w:i/>
                <w:sz w:val="20"/>
                <w:szCs w:val="20"/>
              </w:rPr>
              <w:t>2015</w:t>
            </w:r>
          </w:p>
        </w:tc>
        <w:tc>
          <w:tcPr>
            <w:tcW w:w="794" w:type="dxa"/>
          </w:tcPr>
          <w:p w:rsidR="004B6B0C" w:rsidRPr="0029403D" w:rsidRDefault="00057FA2" w:rsidP="00D34823">
            <w:pPr>
              <w:spacing w:before="20" w:after="20"/>
              <w:jc w:val="center"/>
              <w:rPr>
                <w:i/>
                <w:sz w:val="20"/>
                <w:szCs w:val="20"/>
              </w:rPr>
            </w:pPr>
            <w:r>
              <w:rPr>
                <w:i/>
                <w:sz w:val="20"/>
                <w:szCs w:val="20"/>
              </w:rPr>
              <w:t>2013</w:t>
            </w:r>
          </w:p>
        </w:tc>
        <w:tc>
          <w:tcPr>
            <w:tcW w:w="794" w:type="dxa"/>
          </w:tcPr>
          <w:p w:rsidR="004B6B0C" w:rsidRPr="0029403D" w:rsidRDefault="00057FA2" w:rsidP="00D34823">
            <w:pPr>
              <w:spacing w:before="20" w:after="20"/>
              <w:jc w:val="center"/>
              <w:rPr>
                <w:i/>
                <w:sz w:val="20"/>
                <w:szCs w:val="20"/>
              </w:rPr>
            </w:pPr>
            <w:r>
              <w:rPr>
                <w:i/>
                <w:sz w:val="20"/>
                <w:szCs w:val="20"/>
              </w:rPr>
              <w:t>2014</w:t>
            </w:r>
          </w:p>
        </w:tc>
        <w:tc>
          <w:tcPr>
            <w:tcW w:w="794" w:type="dxa"/>
          </w:tcPr>
          <w:p w:rsidR="004B6B0C" w:rsidRPr="0029403D" w:rsidRDefault="00057FA2" w:rsidP="00D34823">
            <w:pPr>
              <w:spacing w:before="20" w:after="20"/>
              <w:jc w:val="center"/>
              <w:rPr>
                <w:i/>
                <w:sz w:val="20"/>
                <w:szCs w:val="20"/>
              </w:rPr>
            </w:pPr>
            <w:r>
              <w:rPr>
                <w:i/>
                <w:sz w:val="20"/>
                <w:szCs w:val="20"/>
              </w:rPr>
              <w:t>2015</w:t>
            </w:r>
          </w:p>
        </w:tc>
        <w:tc>
          <w:tcPr>
            <w:tcW w:w="1191" w:type="dxa"/>
          </w:tcPr>
          <w:p w:rsidR="004B6B0C" w:rsidRPr="00A20F54" w:rsidRDefault="00057FA2" w:rsidP="00D34823">
            <w:pPr>
              <w:spacing w:before="20" w:after="20"/>
              <w:jc w:val="center"/>
              <w:rPr>
                <w:i/>
                <w:spacing w:val="-2"/>
                <w:sz w:val="20"/>
                <w:szCs w:val="20"/>
              </w:rPr>
            </w:pPr>
            <w:r>
              <w:rPr>
                <w:i/>
                <w:spacing w:val="-2"/>
                <w:sz w:val="20"/>
                <w:szCs w:val="20"/>
              </w:rPr>
              <w:t>2014</w:t>
            </w:r>
            <w:r w:rsidR="00A20F54" w:rsidRPr="00A20F54">
              <w:rPr>
                <w:i/>
                <w:spacing w:val="-2"/>
                <w:sz w:val="20"/>
                <w:szCs w:val="20"/>
              </w:rPr>
              <w:t xml:space="preserve"> к </w:t>
            </w:r>
            <w:r>
              <w:rPr>
                <w:i/>
                <w:spacing w:val="-2"/>
                <w:sz w:val="20"/>
                <w:szCs w:val="20"/>
              </w:rPr>
              <w:t>2013</w:t>
            </w:r>
          </w:p>
        </w:tc>
        <w:tc>
          <w:tcPr>
            <w:tcW w:w="1191" w:type="dxa"/>
          </w:tcPr>
          <w:p w:rsidR="004B6B0C" w:rsidRPr="00A20F54" w:rsidRDefault="00057FA2" w:rsidP="00D34823">
            <w:pPr>
              <w:spacing w:before="20" w:after="20"/>
              <w:jc w:val="center"/>
              <w:rPr>
                <w:i/>
                <w:spacing w:val="-2"/>
                <w:sz w:val="20"/>
                <w:szCs w:val="20"/>
              </w:rPr>
            </w:pPr>
            <w:r>
              <w:rPr>
                <w:i/>
                <w:spacing w:val="-2"/>
                <w:sz w:val="20"/>
                <w:szCs w:val="20"/>
              </w:rPr>
              <w:t>2015</w:t>
            </w:r>
            <w:r w:rsidR="00A20F54" w:rsidRPr="00A20F54">
              <w:rPr>
                <w:i/>
                <w:spacing w:val="-2"/>
                <w:sz w:val="20"/>
                <w:szCs w:val="20"/>
              </w:rPr>
              <w:t xml:space="preserve"> к </w:t>
            </w:r>
            <w:r>
              <w:rPr>
                <w:i/>
                <w:spacing w:val="-2"/>
                <w:sz w:val="20"/>
                <w:szCs w:val="20"/>
              </w:rPr>
              <w:t>2014</w:t>
            </w:r>
          </w:p>
        </w:tc>
      </w:tr>
      <w:tr w:rsidR="00057FA2" w:rsidRPr="00057FA2" w:rsidTr="00057FA2">
        <w:tc>
          <w:tcPr>
            <w:tcW w:w="2438" w:type="dxa"/>
            <w:vAlign w:val="center"/>
          </w:tcPr>
          <w:p w:rsidR="00057FA2" w:rsidRPr="00057FA2" w:rsidRDefault="00057FA2" w:rsidP="00057FA2">
            <w:pPr>
              <w:rPr>
                <w:sz w:val="21"/>
                <w:szCs w:val="21"/>
              </w:rPr>
            </w:pPr>
            <w:r w:rsidRPr="00057FA2">
              <w:rPr>
                <w:sz w:val="21"/>
                <w:szCs w:val="21"/>
              </w:rPr>
              <w:t>Общегосударственные вопросы</w:t>
            </w:r>
          </w:p>
        </w:tc>
        <w:tc>
          <w:tcPr>
            <w:tcW w:w="850" w:type="dxa"/>
            <w:vAlign w:val="center"/>
          </w:tcPr>
          <w:p w:rsidR="00057FA2" w:rsidRPr="00057FA2" w:rsidRDefault="00057FA2" w:rsidP="00057FA2">
            <w:pPr>
              <w:jc w:val="center"/>
              <w:rPr>
                <w:sz w:val="21"/>
                <w:szCs w:val="21"/>
              </w:rPr>
            </w:pPr>
            <w:r w:rsidRPr="00057FA2">
              <w:rPr>
                <w:sz w:val="21"/>
                <w:szCs w:val="21"/>
              </w:rPr>
              <w:t>2160,9</w:t>
            </w:r>
          </w:p>
        </w:tc>
        <w:tc>
          <w:tcPr>
            <w:tcW w:w="907" w:type="dxa"/>
            <w:vAlign w:val="center"/>
          </w:tcPr>
          <w:p w:rsidR="00057FA2" w:rsidRPr="00057FA2" w:rsidRDefault="00057FA2" w:rsidP="00057FA2">
            <w:pPr>
              <w:jc w:val="center"/>
              <w:rPr>
                <w:sz w:val="21"/>
                <w:szCs w:val="21"/>
              </w:rPr>
            </w:pPr>
            <w:r w:rsidRPr="00057FA2">
              <w:rPr>
                <w:sz w:val="21"/>
                <w:szCs w:val="21"/>
              </w:rPr>
              <w:t>2142,9</w:t>
            </w:r>
          </w:p>
        </w:tc>
        <w:tc>
          <w:tcPr>
            <w:tcW w:w="851" w:type="dxa"/>
            <w:vAlign w:val="center"/>
          </w:tcPr>
          <w:p w:rsidR="00057FA2" w:rsidRPr="00057FA2" w:rsidRDefault="001B36C6" w:rsidP="00381832">
            <w:pPr>
              <w:jc w:val="center"/>
              <w:rPr>
                <w:sz w:val="21"/>
                <w:szCs w:val="21"/>
              </w:rPr>
            </w:pPr>
            <w:r>
              <w:rPr>
                <w:sz w:val="21"/>
                <w:szCs w:val="21"/>
              </w:rPr>
              <w:t>2413,0</w:t>
            </w:r>
          </w:p>
        </w:tc>
        <w:tc>
          <w:tcPr>
            <w:tcW w:w="794" w:type="dxa"/>
            <w:vAlign w:val="center"/>
          </w:tcPr>
          <w:p w:rsidR="00057FA2" w:rsidRPr="00057FA2" w:rsidRDefault="00057FA2" w:rsidP="00057FA2">
            <w:pPr>
              <w:jc w:val="center"/>
              <w:rPr>
                <w:sz w:val="21"/>
                <w:szCs w:val="21"/>
              </w:rPr>
            </w:pPr>
            <w:r w:rsidRPr="00057FA2">
              <w:rPr>
                <w:sz w:val="21"/>
                <w:szCs w:val="21"/>
              </w:rPr>
              <w:t>27,9%</w:t>
            </w:r>
          </w:p>
        </w:tc>
        <w:tc>
          <w:tcPr>
            <w:tcW w:w="794" w:type="dxa"/>
            <w:vAlign w:val="center"/>
          </w:tcPr>
          <w:p w:rsidR="00057FA2" w:rsidRPr="00057FA2" w:rsidRDefault="00057FA2" w:rsidP="00057FA2">
            <w:pPr>
              <w:jc w:val="center"/>
              <w:rPr>
                <w:sz w:val="21"/>
                <w:szCs w:val="21"/>
              </w:rPr>
            </w:pPr>
            <w:r w:rsidRPr="00057FA2">
              <w:rPr>
                <w:sz w:val="21"/>
                <w:szCs w:val="21"/>
              </w:rPr>
              <w:t>20,0%</w:t>
            </w:r>
          </w:p>
        </w:tc>
        <w:tc>
          <w:tcPr>
            <w:tcW w:w="794" w:type="dxa"/>
            <w:vAlign w:val="center"/>
          </w:tcPr>
          <w:p w:rsidR="00057FA2" w:rsidRPr="00057FA2" w:rsidRDefault="00D34823" w:rsidP="002E14C6">
            <w:pPr>
              <w:jc w:val="center"/>
              <w:rPr>
                <w:sz w:val="21"/>
                <w:szCs w:val="21"/>
              </w:rPr>
            </w:pPr>
            <w:r>
              <w:rPr>
                <w:sz w:val="21"/>
                <w:szCs w:val="21"/>
              </w:rPr>
              <w:t>28,9%</w:t>
            </w:r>
          </w:p>
        </w:tc>
        <w:tc>
          <w:tcPr>
            <w:tcW w:w="1191" w:type="dxa"/>
            <w:vAlign w:val="center"/>
          </w:tcPr>
          <w:p w:rsidR="00057FA2" w:rsidRPr="00057FA2" w:rsidRDefault="00057FA2" w:rsidP="00057FA2">
            <w:pPr>
              <w:jc w:val="center"/>
              <w:rPr>
                <w:sz w:val="21"/>
                <w:szCs w:val="21"/>
              </w:rPr>
            </w:pPr>
            <w:r w:rsidRPr="00057FA2">
              <w:rPr>
                <w:sz w:val="21"/>
                <w:szCs w:val="21"/>
              </w:rPr>
              <w:t xml:space="preserve">-18,0 / </w:t>
            </w:r>
          </w:p>
          <w:p w:rsidR="00057FA2" w:rsidRPr="00057FA2" w:rsidRDefault="00057FA2" w:rsidP="00057FA2">
            <w:pPr>
              <w:jc w:val="center"/>
              <w:rPr>
                <w:sz w:val="21"/>
                <w:szCs w:val="21"/>
              </w:rPr>
            </w:pPr>
            <w:r w:rsidRPr="00057FA2">
              <w:rPr>
                <w:sz w:val="21"/>
                <w:szCs w:val="21"/>
              </w:rPr>
              <w:t>-0,8%</w:t>
            </w:r>
          </w:p>
        </w:tc>
        <w:tc>
          <w:tcPr>
            <w:tcW w:w="1191" w:type="dxa"/>
            <w:vAlign w:val="center"/>
          </w:tcPr>
          <w:p w:rsidR="00057FA2" w:rsidRPr="00057FA2" w:rsidRDefault="00D34823" w:rsidP="00CB1448">
            <w:pPr>
              <w:jc w:val="center"/>
              <w:rPr>
                <w:sz w:val="21"/>
                <w:szCs w:val="21"/>
              </w:rPr>
            </w:pPr>
            <w:r>
              <w:rPr>
                <w:sz w:val="21"/>
                <w:szCs w:val="21"/>
              </w:rPr>
              <w:t>270,1</w:t>
            </w:r>
            <w:r w:rsidR="00057FA2" w:rsidRPr="00057FA2">
              <w:rPr>
                <w:sz w:val="21"/>
                <w:szCs w:val="21"/>
              </w:rPr>
              <w:t xml:space="preserve"> / </w:t>
            </w:r>
          </w:p>
          <w:p w:rsidR="00057FA2" w:rsidRPr="00057FA2" w:rsidRDefault="00D34823" w:rsidP="00CB1448">
            <w:pPr>
              <w:jc w:val="center"/>
              <w:rPr>
                <w:sz w:val="21"/>
                <w:szCs w:val="21"/>
              </w:rPr>
            </w:pPr>
            <w:r>
              <w:rPr>
                <w:sz w:val="21"/>
                <w:szCs w:val="21"/>
              </w:rPr>
              <w:t>12,6</w:t>
            </w:r>
            <w:r w:rsidR="00057FA2" w:rsidRPr="00057FA2">
              <w:rPr>
                <w:sz w:val="21"/>
                <w:szCs w:val="21"/>
              </w:rPr>
              <w:t>%</w:t>
            </w:r>
          </w:p>
        </w:tc>
      </w:tr>
      <w:tr w:rsidR="00057FA2" w:rsidRPr="00057FA2" w:rsidTr="00057FA2">
        <w:tc>
          <w:tcPr>
            <w:tcW w:w="2438" w:type="dxa"/>
          </w:tcPr>
          <w:p w:rsidR="00057FA2" w:rsidRPr="00057FA2" w:rsidRDefault="00057FA2" w:rsidP="00D34823">
            <w:pPr>
              <w:spacing w:before="40" w:after="40"/>
              <w:rPr>
                <w:sz w:val="21"/>
                <w:szCs w:val="21"/>
              </w:rPr>
            </w:pPr>
            <w:r w:rsidRPr="00057FA2">
              <w:rPr>
                <w:sz w:val="21"/>
                <w:szCs w:val="21"/>
              </w:rPr>
              <w:t>Национальная оборона</w:t>
            </w:r>
          </w:p>
        </w:tc>
        <w:tc>
          <w:tcPr>
            <w:tcW w:w="850" w:type="dxa"/>
            <w:vAlign w:val="center"/>
          </w:tcPr>
          <w:p w:rsidR="00057FA2" w:rsidRPr="00057FA2" w:rsidRDefault="00057FA2" w:rsidP="00D34823">
            <w:pPr>
              <w:spacing w:before="40" w:after="40"/>
              <w:jc w:val="center"/>
              <w:rPr>
                <w:sz w:val="21"/>
                <w:szCs w:val="21"/>
              </w:rPr>
            </w:pPr>
            <w:r w:rsidRPr="00057FA2">
              <w:rPr>
                <w:sz w:val="21"/>
                <w:szCs w:val="21"/>
              </w:rPr>
              <w:t>66,0</w:t>
            </w:r>
          </w:p>
        </w:tc>
        <w:tc>
          <w:tcPr>
            <w:tcW w:w="907" w:type="dxa"/>
            <w:vAlign w:val="center"/>
          </w:tcPr>
          <w:p w:rsidR="00057FA2" w:rsidRPr="00057FA2" w:rsidRDefault="00057FA2" w:rsidP="00D34823">
            <w:pPr>
              <w:spacing w:before="40" w:after="40"/>
              <w:jc w:val="center"/>
              <w:rPr>
                <w:sz w:val="21"/>
                <w:szCs w:val="21"/>
              </w:rPr>
            </w:pPr>
            <w:r w:rsidRPr="00057FA2">
              <w:rPr>
                <w:sz w:val="21"/>
                <w:szCs w:val="21"/>
              </w:rPr>
              <w:t>72,7</w:t>
            </w:r>
          </w:p>
        </w:tc>
        <w:tc>
          <w:tcPr>
            <w:tcW w:w="851" w:type="dxa"/>
            <w:vAlign w:val="center"/>
          </w:tcPr>
          <w:p w:rsidR="00057FA2" w:rsidRPr="00057FA2" w:rsidRDefault="00D34823" w:rsidP="00D34823">
            <w:pPr>
              <w:spacing w:before="40" w:after="40"/>
              <w:jc w:val="center"/>
              <w:rPr>
                <w:sz w:val="21"/>
                <w:szCs w:val="21"/>
              </w:rPr>
            </w:pPr>
            <w:r>
              <w:rPr>
                <w:sz w:val="21"/>
                <w:szCs w:val="21"/>
              </w:rPr>
              <w:t>77,4</w:t>
            </w:r>
          </w:p>
        </w:tc>
        <w:tc>
          <w:tcPr>
            <w:tcW w:w="794" w:type="dxa"/>
            <w:vAlign w:val="center"/>
          </w:tcPr>
          <w:p w:rsidR="00057FA2" w:rsidRPr="00057FA2" w:rsidRDefault="00057FA2" w:rsidP="00D34823">
            <w:pPr>
              <w:spacing w:before="40" w:after="40"/>
              <w:jc w:val="center"/>
              <w:rPr>
                <w:sz w:val="21"/>
                <w:szCs w:val="21"/>
              </w:rPr>
            </w:pPr>
            <w:r w:rsidRPr="00057FA2">
              <w:rPr>
                <w:sz w:val="21"/>
                <w:szCs w:val="21"/>
              </w:rPr>
              <w:t>0,9%</w:t>
            </w:r>
          </w:p>
        </w:tc>
        <w:tc>
          <w:tcPr>
            <w:tcW w:w="794" w:type="dxa"/>
            <w:vAlign w:val="center"/>
          </w:tcPr>
          <w:p w:rsidR="00057FA2" w:rsidRPr="00057FA2" w:rsidRDefault="00057FA2" w:rsidP="00D34823">
            <w:pPr>
              <w:spacing w:before="40" w:after="40"/>
              <w:jc w:val="center"/>
              <w:rPr>
                <w:sz w:val="21"/>
                <w:szCs w:val="21"/>
              </w:rPr>
            </w:pPr>
            <w:r w:rsidRPr="00057FA2">
              <w:rPr>
                <w:sz w:val="21"/>
                <w:szCs w:val="21"/>
              </w:rPr>
              <w:t>0,7%</w:t>
            </w:r>
          </w:p>
        </w:tc>
        <w:tc>
          <w:tcPr>
            <w:tcW w:w="794" w:type="dxa"/>
            <w:vAlign w:val="center"/>
          </w:tcPr>
          <w:p w:rsidR="00057FA2" w:rsidRPr="00057FA2" w:rsidRDefault="00D34823" w:rsidP="00D34823">
            <w:pPr>
              <w:spacing w:before="40" w:after="40"/>
              <w:jc w:val="center"/>
              <w:rPr>
                <w:sz w:val="21"/>
                <w:szCs w:val="21"/>
              </w:rPr>
            </w:pPr>
            <w:r>
              <w:rPr>
                <w:sz w:val="21"/>
                <w:szCs w:val="21"/>
              </w:rPr>
              <w:t>0,9%</w:t>
            </w:r>
          </w:p>
        </w:tc>
        <w:tc>
          <w:tcPr>
            <w:tcW w:w="1191" w:type="dxa"/>
            <w:vAlign w:val="center"/>
          </w:tcPr>
          <w:p w:rsidR="00057FA2" w:rsidRPr="00057FA2" w:rsidRDefault="00057FA2" w:rsidP="00D34823">
            <w:pPr>
              <w:spacing w:before="40" w:after="40"/>
              <w:jc w:val="center"/>
              <w:rPr>
                <w:sz w:val="21"/>
                <w:szCs w:val="21"/>
              </w:rPr>
            </w:pPr>
            <w:r w:rsidRPr="00057FA2">
              <w:rPr>
                <w:sz w:val="21"/>
                <w:szCs w:val="21"/>
              </w:rPr>
              <w:t>6,7 / 10,2%</w:t>
            </w:r>
          </w:p>
        </w:tc>
        <w:tc>
          <w:tcPr>
            <w:tcW w:w="1191" w:type="dxa"/>
            <w:vAlign w:val="center"/>
          </w:tcPr>
          <w:p w:rsidR="00057FA2" w:rsidRPr="00057FA2" w:rsidRDefault="00D34823" w:rsidP="00D34823">
            <w:pPr>
              <w:spacing w:before="40" w:after="40"/>
              <w:jc w:val="center"/>
              <w:rPr>
                <w:sz w:val="21"/>
                <w:szCs w:val="21"/>
              </w:rPr>
            </w:pPr>
            <w:r>
              <w:rPr>
                <w:sz w:val="21"/>
                <w:szCs w:val="21"/>
              </w:rPr>
              <w:t>4</w:t>
            </w:r>
            <w:r w:rsidR="00057FA2" w:rsidRPr="00057FA2">
              <w:rPr>
                <w:sz w:val="21"/>
                <w:szCs w:val="21"/>
              </w:rPr>
              <w:t xml:space="preserve">,7 / </w:t>
            </w:r>
            <w:r>
              <w:rPr>
                <w:sz w:val="21"/>
                <w:szCs w:val="21"/>
              </w:rPr>
              <w:t>6,5</w:t>
            </w:r>
            <w:r w:rsidR="00057FA2" w:rsidRPr="00057FA2">
              <w:rPr>
                <w:sz w:val="21"/>
                <w:szCs w:val="21"/>
              </w:rPr>
              <w:t>%</w:t>
            </w:r>
          </w:p>
        </w:tc>
      </w:tr>
      <w:tr w:rsidR="00057FA2" w:rsidRPr="00057FA2" w:rsidTr="00057FA2">
        <w:tc>
          <w:tcPr>
            <w:tcW w:w="2438" w:type="dxa"/>
          </w:tcPr>
          <w:p w:rsidR="00057FA2" w:rsidRPr="00057FA2" w:rsidRDefault="00057FA2" w:rsidP="00057FA2">
            <w:pPr>
              <w:rPr>
                <w:sz w:val="21"/>
                <w:szCs w:val="21"/>
              </w:rPr>
            </w:pPr>
            <w:r w:rsidRPr="00057FA2">
              <w:rPr>
                <w:sz w:val="21"/>
                <w:szCs w:val="21"/>
              </w:rPr>
              <w:t>Национальная безопа</w:t>
            </w:r>
            <w:r w:rsidRPr="00057FA2">
              <w:rPr>
                <w:sz w:val="21"/>
                <w:szCs w:val="21"/>
              </w:rPr>
              <w:t>с</w:t>
            </w:r>
            <w:r w:rsidRPr="00057FA2">
              <w:rPr>
                <w:sz w:val="21"/>
                <w:szCs w:val="21"/>
              </w:rPr>
              <w:t>ность и правоохран</w:t>
            </w:r>
            <w:r w:rsidRPr="00057FA2">
              <w:rPr>
                <w:sz w:val="21"/>
                <w:szCs w:val="21"/>
              </w:rPr>
              <w:t>и</w:t>
            </w:r>
            <w:r w:rsidRPr="00057FA2">
              <w:rPr>
                <w:sz w:val="21"/>
                <w:szCs w:val="21"/>
              </w:rPr>
              <w:t>тельная деятельность</w:t>
            </w:r>
          </w:p>
        </w:tc>
        <w:tc>
          <w:tcPr>
            <w:tcW w:w="850" w:type="dxa"/>
            <w:vAlign w:val="center"/>
          </w:tcPr>
          <w:p w:rsidR="00057FA2" w:rsidRPr="00057FA2" w:rsidRDefault="00057FA2" w:rsidP="00057FA2">
            <w:pPr>
              <w:jc w:val="center"/>
              <w:rPr>
                <w:sz w:val="21"/>
                <w:szCs w:val="21"/>
              </w:rPr>
            </w:pPr>
            <w:r w:rsidRPr="00057FA2">
              <w:rPr>
                <w:sz w:val="21"/>
                <w:szCs w:val="21"/>
              </w:rPr>
              <w:t>635,5</w:t>
            </w:r>
          </w:p>
        </w:tc>
        <w:tc>
          <w:tcPr>
            <w:tcW w:w="907" w:type="dxa"/>
            <w:vAlign w:val="center"/>
          </w:tcPr>
          <w:p w:rsidR="00057FA2" w:rsidRPr="00057FA2" w:rsidRDefault="00057FA2" w:rsidP="00057FA2">
            <w:pPr>
              <w:jc w:val="center"/>
              <w:rPr>
                <w:sz w:val="21"/>
                <w:szCs w:val="21"/>
              </w:rPr>
            </w:pPr>
            <w:r w:rsidRPr="00057FA2">
              <w:rPr>
                <w:sz w:val="21"/>
                <w:szCs w:val="21"/>
              </w:rPr>
              <w:t>96,7</w:t>
            </w:r>
          </w:p>
        </w:tc>
        <w:tc>
          <w:tcPr>
            <w:tcW w:w="851" w:type="dxa"/>
            <w:vAlign w:val="center"/>
          </w:tcPr>
          <w:p w:rsidR="00057FA2" w:rsidRPr="00057FA2" w:rsidRDefault="00D34823" w:rsidP="002E14C6">
            <w:pPr>
              <w:jc w:val="center"/>
              <w:rPr>
                <w:sz w:val="21"/>
                <w:szCs w:val="21"/>
              </w:rPr>
            </w:pPr>
            <w:r>
              <w:rPr>
                <w:sz w:val="21"/>
                <w:szCs w:val="21"/>
              </w:rPr>
              <w:t>7,5</w:t>
            </w:r>
          </w:p>
        </w:tc>
        <w:tc>
          <w:tcPr>
            <w:tcW w:w="794" w:type="dxa"/>
            <w:vAlign w:val="center"/>
          </w:tcPr>
          <w:p w:rsidR="00057FA2" w:rsidRPr="00057FA2" w:rsidRDefault="00057FA2" w:rsidP="00057FA2">
            <w:pPr>
              <w:jc w:val="center"/>
              <w:rPr>
                <w:sz w:val="21"/>
                <w:szCs w:val="21"/>
              </w:rPr>
            </w:pPr>
            <w:r w:rsidRPr="00057FA2">
              <w:rPr>
                <w:sz w:val="21"/>
                <w:szCs w:val="21"/>
              </w:rPr>
              <w:t>8,2%</w:t>
            </w:r>
          </w:p>
        </w:tc>
        <w:tc>
          <w:tcPr>
            <w:tcW w:w="794" w:type="dxa"/>
            <w:vAlign w:val="center"/>
          </w:tcPr>
          <w:p w:rsidR="00057FA2" w:rsidRPr="00057FA2" w:rsidRDefault="00057FA2" w:rsidP="00057FA2">
            <w:pPr>
              <w:jc w:val="center"/>
              <w:rPr>
                <w:sz w:val="21"/>
                <w:szCs w:val="21"/>
              </w:rPr>
            </w:pPr>
            <w:r w:rsidRPr="00057FA2">
              <w:rPr>
                <w:sz w:val="21"/>
                <w:szCs w:val="21"/>
              </w:rPr>
              <w:t>0,9%</w:t>
            </w:r>
          </w:p>
        </w:tc>
        <w:tc>
          <w:tcPr>
            <w:tcW w:w="794" w:type="dxa"/>
            <w:vAlign w:val="center"/>
          </w:tcPr>
          <w:p w:rsidR="00057FA2" w:rsidRPr="00057FA2" w:rsidRDefault="00D34823" w:rsidP="002E14C6">
            <w:pPr>
              <w:jc w:val="center"/>
              <w:rPr>
                <w:sz w:val="21"/>
                <w:szCs w:val="21"/>
              </w:rPr>
            </w:pPr>
            <w:r>
              <w:rPr>
                <w:sz w:val="21"/>
                <w:szCs w:val="21"/>
              </w:rPr>
              <w:t>0,1%</w:t>
            </w:r>
          </w:p>
        </w:tc>
        <w:tc>
          <w:tcPr>
            <w:tcW w:w="1191" w:type="dxa"/>
            <w:vAlign w:val="center"/>
          </w:tcPr>
          <w:p w:rsidR="00057FA2" w:rsidRPr="00057FA2" w:rsidRDefault="00057FA2" w:rsidP="00057FA2">
            <w:pPr>
              <w:jc w:val="center"/>
              <w:rPr>
                <w:sz w:val="21"/>
                <w:szCs w:val="21"/>
              </w:rPr>
            </w:pPr>
            <w:r w:rsidRPr="00057FA2">
              <w:rPr>
                <w:sz w:val="21"/>
                <w:szCs w:val="21"/>
              </w:rPr>
              <w:t xml:space="preserve">-538,8 / </w:t>
            </w:r>
          </w:p>
          <w:p w:rsidR="00057FA2" w:rsidRPr="00057FA2" w:rsidRDefault="00057FA2" w:rsidP="00057FA2">
            <w:pPr>
              <w:jc w:val="center"/>
              <w:rPr>
                <w:sz w:val="21"/>
                <w:szCs w:val="21"/>
              </w:rPr>
            </w:pPr>
            <w:r w:rsidRPr="00057FA2">
              <w:rPr>
                <w:sz w:val="21"/>
                <w:szCs w:val="21"/>
              </w:rPr>
              <w:t>-84,8%</w:t>
            </w:r>
          </w:p>
        </w:tc>
        <w:tc>
          <w:tcPr>
            <w:tcW w:w="1191" w:type="dxa"/>
            <w:vAlign w:val="center"/>
          </w:tcPr>
          <w:p w:rsidR="00057FA2" w:rsidRPr="00057FA2" w:rsidRDefault="00057FA2" w:rsidP="00605896">
            <w:pPr>
              <w:jc w:val="center"/>
              <w:rPr>
                <w:sz w:val="21"/>
                <w:szCs w:val="21"/>
              </w:rPr>
            </w:pPr>
            <w:r w:rsidRPr="00057FA2">
              <w:rPr>
                <w:sz w:val="21"/>
                <w:szCs w:val="21"/>
              </w:rPr>
              <w:t>-</w:t>
            </w:r>
            <w:r w:rsidR="00D34823">
              <w:rPr>
                <w:sz w:val="21"/>
                <w:szCs w:val="21"/>
              </w:rPr>
              <w:t>89,2</w:t>
            </w:r>
            <w:r w:rsidRPr="00057FA2">
              <w:rPr>
                <w:sz w:val="21"/>
                <w:szCs w:val="21"/>
              </w:rPr>
              <w:t xml:space="preserve"> / </w:t>
            </w:r>
          </w:p>
          <w:p w:rsidR="00057FA2" w:rsidRPr="00057FA2" w:rsidRDefault="00057FA2" w:rsidP="00D34823">
            <w:pPr>
              <w:jc w:val="center"/>
              <w:rPr>
                <w:sz w:val="21"/>
                <w:szCs w:val="21"/>
              </w:rPr>
            </w:pPr>
            <w:r w:rsidRPr="00057FA2">
              <w:rPr>
                <w:sz w:val="21"/>
                <w:szCs w:val="21"/>
              </w:rPr>
              <w:t>-</w:t>
            </w:r>
            <w:r w:rsidR="00D34823">
              <w:rPr>
                <w:sz w:val="21"/>
                <w:szCs w:val="21"/>
              </w:rPr>
              <w:t>92,2</w:t>
            </w:r>
            <w:r w:rsidRPr="00057FA2">
              <w:rPr>
                <w:sz w:val="21"/>
                <w:szCs w:val="21"/>
              </w:rPr>
              <w:t>%</w:t>
            </w:r>
          </w:p>
        </w:tc>
      </w:tr>
      <w:tr w:rsidR="00057FA2" w:rsidRPr="00057FA2" w:rsidTr="00057FA2">
        <w:tc>
          <w:tcPr>
            <w:tcW w:w="2438" w:type="dxa"/>
          </w:tcPr>
          <w:p w:rsidR="00057FA2" w:rsidRDefault="00057FA2" w:rsidP="00057FA2">
            <w:pPr>
              <w:rPr>
                <w:sz w:val="21"/>
                <w:szCs w:val="21"/>
              </w:rPr>
            </w:pPr>
            <w:r w:rsidRPr="00057FA2">
              <w:rPr>
                <w:sz w:val="21"/>
                <w:szCs w:val="21"/>
              </w:rPr>
              <w:t xml:space="preserve">Национальная </w:t>
            </w:r>
          </w:p>
          <w:p w:rsidR="00057FA2" w:rsidRPr="00057FA2" w:rsidRDefault="00057FA2" w:rsidP="00057FA2">
            <w:pPr>
              <w:rPr>
                <w:sz w:val="21"/>
                <w:szCs w:val="21"/>
              </w:rPr>
            </w:pPr>
            <w:r w:rsidRPr="00057FA2">
              <w:rPr>
                <w:sz w:val="21"/>
                <w:szCs w:val="21"/>
              </w:rPr>
              <w:t>экономика</w:t>
            </w:r>
          </w:p>
        </w:tc>
        <w:tc>
          <w:tcPr>
            <w:tcW w:w="850" w:type="dxa"/>
            <w:vAlign w:val="center"/>
          </w:tcPr>
          <w:p w:rsidR="00057FA2" w:rsidRPr="00057FA2" w:rsidRDefault="00057FA2" w:rsidP="00057FA2">
            <w:pPr>
              <w:jc w:val="center"/>
              <w:rPr>
                <w:sz w:val="21"/>
                <w:szCs w:val="21"/>
              </w:rPr>
            </w:pPr>
            <w:r w:rsidRPr="00057FA2">
              <w:rPr>
                <w:sz w:val="21"/>
                <w:szCs w:val="21"/>
              </w:rPr>
              <w:t>383,0</w:t>
            </w:r>
          </w:p>
        </w:tc>
        <w:tc>
          <w:tcPr>
            <w:tcW w:w="907" w:type="dxa"/>
            <w:vAlign w:val="center"/>
          </w:tcPr>
          <w:p w:rsidR="00057FA2" w:rsidRPr="00057FA2" w:rsidRDefault="00057FA2" w:rsidP="00057FA2">
            <w:pPr>
              <w:jc w:val="center"/>
              <w:rPr>
                <w:sz w:val="21"/>
                <w:szCs w:val="21"/>
              </w:rPr>
            </w:pPr>
            <w:r w:rsidRPr="00057FA2">
              <w:rPr>
                <w:sz w:val="21"/>
                <w:szCs w:val="21"/>
              </w:rPr>
              <w:t>2959,4</w:t>
            </w:r>
          </w:p>
        </w:tc>
        <w:tc>
          <w:tcPr>
            <w:tcW w:w="851" w:type="dxa"/>
            <w:vAlign w:val="center"/>
          </w:tcPr>
          <w:p w:rsidR="00057FA2" w:rsidRPr="00057FA2" w:rsidRDefault="00D34823" w:rsidP="0060119A">
            <w:pPr>
              <w:jc w:val="center"/>
              <w:rPr>
                <w:sz w:val="21"/>
                <w:szCs w:val="21"/>
              </w:rPr>
            </w:pPr>
            <w:r>
              <w:rPr>
                <w:sz w:val="21"/>
                <w:szCs w:val="21"/>
              </w:rPr>
              <w:t>631,9</w:t>
            </w:r>
          </w:p>
        </w:tc>
        <w:tc>
          <w:tcPr>
            <w:tcW w:w="794" w:type="dxa"/>
            <w:vAlign w:val="center"/>
          </w:tcPr>
          <w:p w:rsidR="00057FA2" w:rsidRPr="00057FA2" w:rsidRDefault="00057FA2" w:rsidP="00057FA2">
            <w:pPr>
              <w:jc w:val="center"/>
              <w:rPr>
                <w:sz w:val="21"/>
                <w:szCs w:val="21"/>
              </w:rPr>
            </w:pPr>
            <w:r w:rsidRPr="00057FA2">
              <w:rPr>
                <w:sz w:val="21"/>
                <w:szCs w:val="21"/>
              </w:rPr>
              <w:t>4,9%</w:t>
            </w:r>
          </w:p>
        </w:tc>
        <w:tc>
          <w:tcPr>
            <w:tcW w:w="794" w:type="dxa"/>
            <w:vAlign w:val="center"/>
          </w:tcPr>
          <w:p w:rsidR="00057FA2" w:rsidRPr="00057FA2" w:rsidRDefault="00057FA2" w:rsidP="00057FA2">
            <w:pPr>
              <w:jc w:val="center"/>
              <w:rPr>
                <w:sz w:val="21"/>
                <w:szCs w:val="21"/>
              </w:rPr>
            </w:pPr>
            <w:r w:rsidRPr="00057FA2">
              <w:rPr>
                <w:sz w:val="21"/>
                <w:szCs w:val="21"/>
              </w:rPr>
              <w:t>27,7%</w:t>
            </w:r>
          </w:p>
        </w:tc>
        <w:tc>
          <w:tcPr>
            <w:tcW w:w="794" w:type="dxa"/>
            <w:vAlign w:val="center"/>
          </w:tcPr>
          <w:p w:rsidR="00057FA2" w:rsidRPr="00057FA2" w:rsidRDefault="00D34823" w:rsidP="0060119A">
            <w:pPr>
              <w:jc w:val="center"/>
              <w:rPr>
                <w:sz w:val="21"/>
                <w:szCs w:val="21"/>
              </w:rPr>
            </w:pPr>
            <w:r>
              <w:rPr>
                <w:sz w:val="21"/>
                <w:szCs w:val="21"/>
              </w:rPr>
              <w:t>7,6%</w:t>
            </w:r>
          </w:p>
        </w:tc>
        <w:tc>
          <w:tcPr>
            <w:tcW w:w="1191" w:type="dxa"/>
            <w:vAlign w:val="center"/>
          </w:tcPr>
          <w:p w:rsidR="00057FA2" w:rsidRPr="00057FA2" w:rsidRDefault="00057FA2" w:rsidP="00057FA2">
            <w:pPr>
              <w:jc w:val="center"/>
              <w:rPr>
                <w:sz w:val="21"/>
                <w:szCs w:val="21"/>
              </w:rPr>
            </w:pPr>
            <w:r w:rsidRPr="00057FA2">
              <w:rPr>
                <w:sz w:val="21"/>
                <w:szCs w:val="21"/>
              </w:rPr>
              <w:t>2576,4 / 7,7 раза</w:t>
            </w:r>
          </w:p>
        </w:tc>
        <w:tc>
          <w:tcPr>
            <w:tcW w:w="1191" w:type="dxa"/>
            <w:vAlign w:val="center"/>
          </w:tcPr>
          <w:p w:rsidR="00D34823" w:rsidRDefault="00D34823" w:rsidP="00D34823">
            <w:pPr>
              <w:jc w:val="center"/>
              <w:rPr>
                <w:sz w:val="21"/>
                <w:szCs w:val="21"/>
              </w:rPr>
            </w:pPr>
            <w:r>
              <w:rPr>
                <w:sz w:val="21"/>
                <w:szCs w:val="21"/>
              </w:rPr>
              <w:t>-2327,5</w:t>
            </w:r>
            <w:r w:rsidR="00057FA2" w:rsidRPr="00057FA2">
              <w:rPr>
                <w:sz w:val="21"/>
                <w:szCs w:val="21"/>
              </w:rPr>
              <w:t xml:space="preserve"> / </w:t>
            </w:r>
          </w:p>
          <w:p w:rsidR="00057FA2" w:rsidRPr="00057FA2" w:rsidRDefault="00D34823" w:rsidP="00D34823">
            <w:pPr>
              <w:jc w:val="center"/>
              <w:rPr>
                <w:sz w:val="21"/>
                <w:szCs w:val="21"/>
              </w:rPr>
            </w:pPr>
            <w:r>
              <w:rPr>
                <w:sz w:val="21"/>
                <w:szCs w:val="21"/>
              </w:rPr>
              <w:t>-78,6%</w:t>
            </w:r>
          </w:p>
        </w:tc>
      </w:tr>
      <w:tr w:rsidR="00057FA2" w:rsidRPr="00057FA2" w:rsidTr="00057FA2">
        <w:tc>
          <w:tcPr>
            <w:tcW w:w="2438" w:type="dxa"/>
            <w:vAlign w:val="center"/>
          </w:tcPr>
          <w:p w:rsidR="00057FA2" w:rsidRPr="00057FA2" w:rsidRDefault="00057FA2" w:rsidP="00057FA2">
            <w:pPr>
              <w:rPr>
                <w:sz w:val="21"/>
                <w:szCs w:val="21"/>
              </w:rPr>
            </w:pPr>
            <w:r w:rsidRPr="00057FA2">
              <w:rPr>
                <w:sz w:val="21"/>
                <w:szCs w:val="21"/>
              </w:rPr>
              <w:t>Жилищно-комму</w:t>
            </w:r>
            <w:r w:rsidRPr="00057FA2">
              <w:rPr>
                <w:sz w:val="21"/>
                <w:szCs w:val="21"/>
              </w:rPr>
              <w:softHyphen/>
              <w:t>нальное хозяйство</w:t>
            </w:r>
          </w:p>
        </w:tc>
        <w:tc>
          <w:tcPr>
            <w:tcW w:w="850" w:type="dxa"/>
            <w:vAlign w:val="center"/>
          </w:tcPr>
          <w:p w:rsidR="00057FA2" w:rsidRPr="00057FA2" w:rsidRDefault="00057FA2" w:rsidP="00057FA2">
            <w:pPr>
              <w:jc w:val="center"/>
              <w:rPr>
                <w:sz w:val="21"/>
                <w:szCs w:val="21"/>
              </w:rPr>
            </w:pPr>
            <w:r w:rsidRPr="00057FA2">
              <w:rPr>
                <w:sz w:val="21"/>
                <w:szCs w:val="21"/>
              </w:rPr>
              <w:t>1305,7</w:t>
            </w:r>
          </w:p>
        </w:tc>
        <w:tc>
          <w:tcPr>
            <w:tcW w:w="907" w:type="dxa"/>
            <w:vAlign w:val="center"/>
          </w:tcPr>
          <w:p w:rsidR="00057FA2" w:rsidRPr="00057FA2" w:rsidRDefault="00057FA2" w:rsidP="00057FA2">
            <w:pPr>
              <w:jc w:val="center"/>
              <w:rPr>
                <w:sz w:val="21"/>
                <w:szCs w:val="21"/>
              </w:rPr>
            </w:pPr>
            <w:r w:rsidRPr="00057FA2">
              <w:rPr>
                <w:sz w:val="21"/>
                <w:szCs w:val="21"/>
              </w:rPr>
              <w:t>1974,2</w:t>
            </w:r>
          </w:p>
        </w:tc>
        <w:tc>
          <w:tcPr>
            <w:tcW w:w="851" w:type="dxa"/>
            <w:vAlign w:val="center"/>
          </w:tcPr>
          <w:p w:rsidR="00057FA2" w:rsidRPr="00057FA2" w:rsidRDefault="00D34823" w:rsidP="00381832">
            <w:pPr>
              <w:jc w:val="center"/>
              <w:rPr>
                <w:sz w:val="21"/>
                <w:szCs w:val="21"/>
              </w:rPr>
            </w:pPr>
            <w:r>
              <w:rPr>
                <w:sz w:val="21"/>
                <w:szCs w:val="21"/>
              </w:rPr>
              <w:t>1155,3</w:t>
            </w:r>
          </w:p>
        </w:tc>
        <w:tc>
          <w:tcPr>
            <w:tcW w:w="794" w:type="dxa"/>
            <w:vAlign w:val="center"/>
          </w:tcPr>
          <w:p w:rsidR="00057FA2" w:rsidRPr="00057FA2" w:rsidRDefault="00057FA2" w:rsidP="00057FA2">
            <w:pPr>
              <w:jc w:val="center"/>
              <w:rPr>
                <w:sz w:val="21"/>
                <w:szCs w:val="21"/>
              </w:rPr>
            </w:pPr>
            <w:r w:rsidRPr="00057FA2">
              <w:rPr>
                <w:sz w:val="21"/>
                <w:szCs w:val="21"/>
              </w:rPr>
              <w:t>16,9%</w:t>
            </w:r>
          </w:p>
        </w:tc>
        <w:tc>
          <w:tcPr>
            <w:tcW w:w="794" w:type="dxa"/>
            <w:vAlign w:val="center"/>
          </w:tcPr>
          <w:p w:rsidR="00057FA2" w:rsidRPr="00057FA2" w:rsidRDefault="00057FA2" w:rsidP="00057FA2">
            <w:pPr>
              <w:jc w:val="center"/>
              <w:rPr>
                <w:sz w:val="21"/>
                <w:szCs w:val="21"/>
              </w:rPr>
            </w:pPr>
            <w:r w:rsidRPr="00057FA2">
              <w:rPr>
                <w:sz w:val="21"/>
                <w:szCs w:val="21"/>
              </w:rPr>
              <w:t>18,4%</w:t>
            </w:r>
          </w:p>
        </w:tc>
        <w:tc>
          <w:tcPr>
            <w:tcW w:w="794" w:type="dxa"/>
            <w:vAlign w:val="center"/>
          </w:tcPr>
          <w:p w:rsidR="00057FA2" w:rsidRPr="00057FA2" w:rsidRDefault="00D34823" w:rsidP="002E14C6">
            <w:pPr>
              <w:jc w:val="center"/>
              <w:rPr>
                <w:sz w:val="21"/>
                <w:szCs w:val="21"/>
              </w:rPr>
            </w:pPr>
            <w:r>
              <w:rPr>
                <w:sz w:val="21"/>
                <w:szCs w:val="21"/>
              </w:rPr>
              <w:t>13,8%</w:t>
            </w:r>
          </w:p>
        </w:tc>
        <w:tc>
          <w:tcPr>
            <w:tcW w:w="1191" w:type="dxa"/>
            <w:vAlign w:val="center"/>
          </w:tcPr>
          <w:p w:rsidR="00057FA2" w:rsidRPr="00057FA2" w:rsidRDefault="00057FA2" w:rsidP="00057FA2">
            <w:pPr>
              <w:jc w:val="center"/>
              <w:rPr>
                <w:sz w:val="21"/>
                <w:szCs w:val="21"/>
              </w:rPr>
            </w:pPr>
            <w:r w:rsidRPr="00057FA2">
              <w:rPr>
                <w:sz w:val="21"/>
                <w:szCs w:val="21"/>
              </w:rPr>
              <w:t>668,5 / 51,2%</w:t>
            </w:r>
          </w:p>
        </w:tc>
        <w:tc>
          <w:tcPr>
            <w:tcW w:w="1191" w:type="dxa"/>
            <w:vAlign w:val="center"/>
          </w:tcPr>
          <w:p w:rsidR="00D34823" w:rsidRDefault="00D34823" w:rsidP="00D34823">
            <w:pPr>
              <w:jc w:val="center"/>
              <w:rPr>
                <w:sz w:val="21"/>
                <w:szCs w:val="21"/>
              </w:rPr>
            </w:pPr>
            <w:r>
              <w:rPr>
                <w:sz w:val="21"/>
                <w:szCs w:val="21"/>
              </w:rPr>
              <w:t>-818,9</w:t>
            </w:r>
            <w:r w:rsidR="00057FA2" w:rsidRPr="00057FA2">
              <w:rPr>
                <w:sz w:val="21"/>
                <w:szCs w:val="21"/>
              </w:rPr>
              <w:t xml:space="preserve"> / </w:t>
            </w:r>
          </w:p>
          <w:p w:rsidR="00057FA2" w:rsidRPr="00057FA2" w:rsidRDefault="00D34823" w:rsidP="00D34823">
            <w:pPr>
              <w:jc w:val="center"/>
              <w:rPr>
                <w:sz w:val="21"/>
                <w:szCs w:val="21"/>
              </w:rPr>
            </w:pPr>
            <w:r>
              <w:rPr>
                <w:sz w:val="21"/>
                <w:szCs w:val="21"/>
              </w:rPr>
              <w:t>-41,5</w:t>
            </w:r>
            <w:r w:rsidR="00057FA2" w:rsidRPr="00057FA2">
              <w:rPr>
                <w:sz w:val="21"/>
                <w:szCs w:val="21"/>
              </w:rPr>
              <w:t>%</w:t>
            </w:r>
          </w:p>
        </w:tc>
      </w:tr>
      <w:tr w:rsidR="00057FA2" w:rsidRPr="00057FA2" w:rsidTr="00057FA2">
        <w:tc>
          <w:tcPr>
            <w:tcW w:w="2438" w:type="dxa"/>
          </w:tcPr>
          <w:p w:rsidR="00057FA2" w:rsidRPr="00057FA2" w:rsidRDefault="00057FA2" w:rsidP="00D34823">
            <w:pPr>
              <w:spacing w:before="40" w:after="40"/>
              <w:rPr>
                <w:sz w:val="21"/>
                <w:szCs w:val="21"/>
              </w:rPr>
            </w:pPr>
            <w:r w:rsidRPr="00057FA2">
              <w:rPr>
                <w:sz w:val="21"/>
                <w:szCs w:val="21"/>
              </w:rPr>
              <w:t>Образование</w:t>
            </w:r>
          </w:p>
        </w:tc>
        <w:tc>
          <w:tcPr>
            <w:tcW w:w="850" w:type="dxa"/>
            <w:vAlign w:val="center"/>
          </w:tcPr>
          <w:p w:rsidR="00057FA2" w:rsidRPr="00057FA2" w:rsidRDefault="00057FA2" w:rsidP="00D34823">
            <w:pPr>
              <w:spacing w:before="40" w:after="40"/>
              <w:jc w:val="center"/>
              <w:rPr>
                <w:sz w:val="21"/>
                <w:szCs w:val="21"/>
              </w:rPr>
            </w:pPr>
            <w:r w:rsidRPr="00057FA2">
              <w:rPr>
                <w:sz w:val="21"/>
                <w:szCs w:val="21"/>
              </w:rPr>
              <w:t>3,0</w:t>
            </w:r>
          </w:p>
        </w:tc>
        <w:tc>
          <w:tcPr>
            <w:tcW w:w="907" w:type="dxa"/>
            <w:vAlign w:val="center"/>
          </w:tcPr>
          <w:p w:rsidR="00057FA2" w:rsidRPr="00057FA2" w:rsidRDefault="00057FA2" w:rsidP="00D34823">
            <w:pPr>
              <w:spacing w:before="40" w:after="40"/>
              <w:jc w:val="center"/>
              <w:rPr>
                <w:sz w:val="21"/>
                <w:szCs w:val="21"/>
              </w:rPr>
            </w:pPr>
          </w:p>
        </w:tc>
        <w:tc>
          <w:tcPr>
            <w:tcW w:w="851" w:type="dxa"/>
            <w:vAlign w:val="center"/>
          </w:tcPr>
          <w:p w:rsidR="00057FA2" w:rsidRPr="00057FA2" w:rsidRDefault="00D34823" w:rsidP="00D34823">
            <w:pPr>
              <w:spacing w:before="40" w:after="40"/>
              <w:jc w:val="center"/>
              <w:rPr>
                <w:sz w:val="21"/>
                <w:szCs w:val="21"/>
              </w:rPr>
            </w:pPr>
            <w:r>
              <w:rPr>
                <w:sz w:val="21"/>
                <w:szCs w:val="21"/>
              </w:rPr>
              <w:t>2,0</w:t>
            </w:r>
          </w:p>
        </w:tc>
        <w:tc>
          <w:tcPr>
            <w:tcW w:w="794" w:type="dxa"/>
            <w:vAlign w:val="center"/>
          </w:tcPr>
          <w:p w:rsidR="00057FA2" w:rsidRPr="00057FA2" w:rsidRDefault="00057FA2" w:rsidP="00D34823">
            <w:pPr>
              <w:spacing w:before="40" w:after="40"/>
              <w:jc w:val="center"/>
              <w:rPr>
                <w:sz w:val="21"/>
                <w:szCs w:val="21"/>
              </w:rPr>
            </w:pPr>
            <w:r w:rsidRPr="00057FA2">
              <w:rPr>
                <w:sz w:val="21"/>
                <w:szCs w:val="21"/>
              </w:rPr>
              <w:t>0,0%</w:t>
            </w:r>
          </w:p>
        </w:tc>
        <w:tc>
          <w:tcPr>
            <w:tcW w:w="794" w:type="dxa"/>
            <w:vAlign w:val="center"/>
          </w:tcPr>
          <w:p w:rsidR="00057FA2" w:rsidRPr="00057FA2" w:rsidRDefault="00057FA2" w:rsidP="00D34823">
            <w:pPr>
              <w:spacing w:before="40" w:after="40"/>
              <w:jc w:val="center"/>
              <w:rPr>
                <w:sz w:val="21"/>
                <w:szCs w:val="21"/>
              </w:rPr>
            </w:pPr>
          </w:p>
        </w:tc>
        <w:tc>
          <w:tcPr>
            <w:tcW w:w="794" w:type="dxa"/>
            <w:vAlign w:val="center"/>
          </w:tcPr>
          <w:p w:rsidR="00057FA2" w:rsidRPr="00057FA2" w:rsidRDefault="00D34823" w:rsidP="00D34823">
            <w:pPr>
              <w:spacing w:before="40" w:after="40"/>
              <w:jc w:val="center"/>
              <w:rPr>
                <w:sz w:val="21"/>
                <w:szCs w:val="21"/>
              </w:rPr>
            </w:pPr>
            <w:r>
              <w:rPr>
                <w:sz w:val="21"/>
                <w:szCs w:val="21"/>
              </w:rPr>
              <w:t>0,0%</w:t>
            </w:r>
          </w:p>
        </w:tc>
        <w:tc>
          <w:tcPr>
            <w:tcW w:w="1191" w:type="dxa"/>
            <w:vAlign w:val="center"/>
          </w:tcPr>
          <w:p w:rsidR="00057FA2" w:rsidRPr="00057FA2" w:rsidRDefault="00057FA2" w:rsidP="00D34823">
            <w:pPr>
              <w:spacing w:before="40" w:after="40"/>
              <w:jc w:val="center"/>
              <w:rPr>
                <w:sz w:val="21"/>
                <w:szCs w:val="21"/>
              </w:rPr>
            </w:pPr>
          </w:p>
        </w:tc>
        <w:tc>
          <w:tcPr>
            <w:tcW w:w="1191" w:type="dxa"/>
            <w:vAlign w:val="center"/>
          </w:tcPr>
          <w:p w:rsidR="00057FA2" w:rsidRPr="00057FA2" w:rsidRDefault="00057FA2" w:rsidP="00D34823">
            <w:pPr>
              <w:spacing w:before="40" w:after="40"/>
              <w:jc w:val="center"/>
              <w:rPr>
                <w:sz w:val="21"/>
                <w:szCs w:val="21"/>
              </w:rPr>
            </w:pPr>
          </w:p>
        </w:tc>
      </w:tr>
      <w:tr w:rsidR="00057FA2" w:rsidRPr="00057FA2" w:rsidTr="00057FA2">
        <w:tc>
          <w:tcPr>
            <w:tcW w:w="2438" w:type="dxa"/>
            <w:vAlign w:val="center"/>
          </w:tcPr>
          <w:p w:rsidR="00057FA2" w:rsidRPr="00057FA2" w:rsidRDefault="00057FA2" w:rsidP="00057FA2">
            <w:pPr>
              <w:rPr>
                <w:sz w:val="21"/>
                <w:szCs w:val="21"/>
              </w:rPr>
            </w:pPr>
            <w:r w:rsidRPr="00057FA2">
              <w:rPr>
                <w:sz w:val="21"/>
                <w:szCs w:val="21"/>
              </w:rPr>
              <w:t>Культура, кинематогр</w:t>
            </w:r>
            <w:r w:rsidRPr="00057FA2">
              <w:rPr>
                <w:sz w:val="21"/>
                <w:szCs w:val="21"/>
              </w:rPr>
              <w:t>а</w:t>
            </w:r>
            <w:r w:rsidRPr="00057FA2">
              <w:rPr>
                <w:sz w:val="21"/>
                <w:szCs w:val="21"/>
              </w:rPr>
              <w:t>фия</w:t>
            </w:r>
          </w:p>
        </w:tc>
        <w:tc>
          <w:tcPr>
            <w:tcW w:w="850" w:type="dxa"/>
            <w:vAlign w:val="center"/>
          </w:tcPr>
          <w:p w:rsidR="00057FA2" w:rsidRPr="00057FA2" w:rsidRDefault="00057FA2" w:rsidP="00057FA2">
            <w:pPr>
              <w:jc w:val="center"/>
              <w:rPr>
                <w:sz w:val="21"/>
                <w:szCs w:val="21"/>
              </w:rPr>
            </w:pPr>
            <w:r w:rsidRPr="00057FA2">
              <w:rPr>
                <w:sz w:val="21"/>
                <w:szCs w:val="21"/>
              </w:rPr>
              <w:t>3175,9</w:t>
            </w:r>
          </w:p>
        </w:tc>
        <w:tc>
          <w:tcPr>
            <w:tcW w:w="907" w:type="dxa"/>
            <w:vAlign w:val="center"/>
          </w:tcPr>
          <w:p w:rsidR="00057FA2" w:rsidRPr="00057FA2" w:rsidRDefault="00057FA2" w:rsidP="00057FA2">
            <w:pPr>
              <w:jc w:val="center"/>
              <w:rPr>
                <w:sz w:val="21"/>
                <w:szCs w:val="21"/>
              </w:rPr>
            </w:pPr>
            <w:r w:rsidRPr="00057FA2">
              <w:rPr>
                <w:sz w:val="21"/>
                <w:szCs w:val="21"/>
              </w:rPr>
              <w:t>3440,3</w:t>
            </w:r>
          </w:p>
        </w:tc>
        <w:tc>
          <w:tcPr>
            <w:tcW w:w="851" w:type="dxa"/>
            <w:vAlign w:val="center"/>
          </w:tcPr>
          <w:p w:rsidR="00057FA2" w:rsidRPr="00057FA2" w:rsidRDefault="00D34823" w:rsidP="002E14C6">
            <w:pPr>
              <w:jc w:val="center"/>
              <w:rPr>
                <w:sz w:val="21"/>
                <w:szCs w:val="21"/>
              </w:rPr>
            </w:pPr>
            <w:r>
              <w:rPr>
                <w:sz w:val="21"/>
                <w:szCs w:val="21"/>
              </w:rPr>
              <w:t>4027,6</w:t>
            </w:r>
          </w:p>
        </w:tc>
        <w:tc>
          <w:tcPr>
            <w:tcW w:w="794" w:type="dxa"/>
            <w:vAlign w:val="center"/>
          </w:tcPr>
          <w:p w:rsidR="00057FA2" w:rsidRPr="00057FA2" w:rsidRDefault="00057FA2" w:rsidP="00057FA2">
            <w:pPr>
              <w:jc w:val="center"/>
              <w:rPr>
                <w:sz w:val="21"/>
                <w:szCs w:val="21"/>
              </w:rPr>
            </w:pPr>
            <w:r w:rsidRPr="00057FA2">
              <w:rPr>
                <w:sz w:val="21"/>
                <w:szCs w:val="21"/>
              </w:rPr>
              <w:t>41,0%</w:t>
            </w:r>
          </w:p>
        </w:tc>
        <w:tc>
          <w:tcPr>
            <w:tcW w:w="794" w:type="dxa"/>
            <w:vAlign w:val="center"/>
          </w:tcPr>
          <w:p w:rsidR="00057FA2" w:rsidRPr="00057FA2" w:rsidRDefault="00057FA2" w:rsidP="00057FA2">
            <w:pPr>
              <w:jc w:val="center"/>
              <w:rPr>
                <w:sz w:val="21"/>
                <w:szCs w:val="21"/>
              </w:rPr>
            </w:pPr>
            <w:r w:rsidRPr="00057FA2">
              <w:rPr>
                <w:sz w:val="21"/>
                <w:szCs w:val="21"/>
              </w:rPr>
              <w:t>32,1%</w:t>
            </w:r>
          </w:p>
        </w:tc>
        <w:tc>
          <w:tcPr>
            <w:tcW w:w="794" w:type="dxa"/>
            <w:vAlign w:val="center"/>
          </w:tcPr>
          <w:p w:rsidR="00057FA2" w:rsidRPr="00057FA2" w:rsidRDefault="00D34823" w:rsidP="00911D8B">
            <w:pPr>
              <w:jc w:val="center"/>
              <w:rPr>
                <w:sz w:val="21"/>
                <w:szCs w:val="21"/>
              </w:rPr>
            </w:pPr>
            <w:r>
              <w:rPr>
                <w:sz w:val="21"/>
                <w:szCs w:val="21"/>
              </w:rPr>
              <w:t>48,3%</w:t>
            </w:r>
          </w:p>
        </w:tc>
        <w:tc>
          <w:tcPr>
            <w:tcW w:w="1191" w:type="dxa"/>
            <w:vAlign w:val="center"/>
          </w:tcPr>
          <w:p w:rsidR="00057FA2" w:rsidRPr="00057FA2" w:rsidRDefault="00057FA2" w:rsidP="00057FA2">
            <w:pPr>
              <w:jc w:val="center"/>
              <w:rPr>
                <w:sz w:val="21"/>
                <w:szCs w:val="21"/>
              </w:rPr>
            </w:pPr>
            <w:r w:rsidRPr="00057FA2">
              <w:rPr>
                <w:sz w:val="21"/>
                <w:szCs w:val="21"/>
              </w:rPr>
              <w:t>264,4 / 8,3%</w:t>
            </w:r>
          </w:p>
        </w:tc>
        <w:tc>
          <w:tcPr>
            <w:tcW w:w="1191" w:type="dxa"/>
            <w:vAlign w:val="center"/>
          </w:tcPr>
          <w:p w:rsidR="00057FA2" w:rsidRPr="00057FA2" w:rsidRDefault="00D34823" w:rsidP="00D34823">
            <w:pPr>
              <w:jc w:val="center"/>
              <w:rPr>
                <w:sz w:val="21"/>
                <w:szCs w:val="21"/>
              </w:rPr>
            </w:pPr>
            <w:r>
              <w:rPr>
                <w:sz w:val="21"/>
                <w:szCs w:val="21"/>
              </w:rPr>
              <w:t>587,3</w:t>
            </w:r>
            <w:r w:rsidR="00057FA2" w:rsidRPr="00057FA2">
              <w:rPr>
                <w:sz w:val="21"/>
                <w:szCs w:val="21"/>
              </w:rPr>
              <w:t xml:space="preserve"> / </w:t>
            </w:r>
            <w:r>
              <w:rPr>
                <w:sz w:val="21"/>
                <w:szCs w:val="21"/>
              </w:rPr>
              <w:t>17,1</w:t>
            </w:r>
            <w:r w:rsidR="00057FA2" w:rsidRPr="00057FA2">
              <w:rPr>
                <w:sz w:val="21"/>
                <w:szCs w:val="21"/>
              </w:rPr>
              <w:t>%</w:t>
            </w:r>
          </w:p>
        </w:tc>
      </w:tr>
      <w:tr w:rsidR="00057FA2" w:rsidRPr="00057FA2" w:rsidTr="00057FA2">
        <w:tc>
          <w:tcPr>
            <w:tcW w:w="2438" w:type="dxa"/>
          </w:tcPr>
          <w:p w:rsidR="00057FA2" w:rsidRPr="00057FA2" w:rsidRDefault="00057FA2" w:rsidP="00D34823">
            <w:pPr>
              <w:spacing w:before="120"/>
              <w:rPr>
                <w:spacing w:val="-2"/>
                <w:sz w:val="21"/>
                <w:szCs w:val="21"/>
              </w:rPr>
            </w:pPr>
            <w:r w:rsidRPr="00057FA2">
              <w:rPr>
                <w:spacing w:val="-2"/>
                <w:sz w:val="21"/>
                <w:szCs w:val="21"/>
              </w:rPr>
              <w:t>Социальная политика</w:t>
            </w:r>
          </w:p>
        </w:tc>
        <w:tc>
          <w:tcPr>
            <w:tcW w:w="850" w:type="dxa"/>
            <w:vAlign w:val="center"/>
          </w:tcPr>
          <w:p w:rsidR="00057FA2" w:rsidRPr="00057FA2" w:rsidRDefault="00057FA2" w:rsidP="00057FA2">
            <w:pPr>
              <w:jc w:val="center"/>
              <w:rPr>
                <w:sz w:val="21"/>
                <w:szCs w:val="21"/>
              </w:rPr>
            </w:pPr>
            <w:r w:rsidRPr="00057FA2">
              <w:rPr>
                <w:sz w:val="21"/>
                <w:szCs w:val="21"/>
              </w:rPr>
              <w:t>11,8</w:t>
            </w:r>
          </w:p>
        </w:tc>
        <w:tc>
          <w:tcPr>
            <w:tcW w:w="907" w:type="dxa"/>
            <w:vAlign w:val="center"/>
          </w:tcPr>
          <w:p w:rsidR="00057FA2" w:rsidRPr="00057FA2" w:rsidRDefault="00057FA2" w:rsidP="00057FA2">
            <w:pPr>
              <w:jc w:val="center"/>
              <w:rPr>
                <w:sz w:val="21"/>
                <w:szCs w:val="21"/>
              </w:rPr>
            </w:pPr>
            <w:r w:rsidRPr="00057FA2">
              <w:rPr>
                <w:sz w:val="21"/>
                <w:szCs w:val="21"/>
              </w:rPr>
              <w:t>14,4</w:t>
            </w:r>
          </w:p>
        </w:tc>
        <w:tc>
          <w:tcPr>
            <w:tcW w:w="851" w:type="dxa"/>
            <w:vAlign w:val="center"/>
          </w:tcPr>
          <w:p w:rsidR="00057FA2" w:rsidRPr="00057FA2" w:rsidRDefault="00D34823" w:rsidP="002E14C6">
            <w:pPr>
              <w:jc w:val="center"/>
              <w:rPr>
                <w:sz w:val="21"/>
                <w:szCs w:val="21"/>
              </w:rPr>
            </w:pPr>
            <w:r>
              <w:rPr>
                <w:sz w:val="21"/>
                <w:szCs w:val="21"/>
              </w:rPr>
              <w:t>29,0</w:t>
            </w:r>
          </w:p>
        </w:tc>
        <w:tc>
          <w:tcPr>
            <w:tcW w:w="794" w:type="dxa"/>
            <w:vAlign w:val="center"/>
          </w:tcPr>
          <w:p w:rsidR="00057FA2" w:rsidRPr="00057FA2" w:rsidRDefault="00057FA2" w:rsidP="00057FA2">
            <w:pPr>
              <w:jc w:val="center"/>
              <w:rPr>
                <w:sz w:val="21"/>
                <w:szCs w:val="21"/>
              </w:rPr>
            </w:pPr>
            <w:r w:rsidRPr="00057FA2">
              <w:rPr>
                <w:sz w:val="21"/>
                <w:szCs w:val="21"/>
              </w:rPr>
              <w:t>0,2%</w:t>
            </w:r>
          </w:p>
        </w:tc>
        <w:tc>
          <w:tcPr>
            <w:tcW w:w="794" w:type="dxa"/>
            <w:vAlign w:val="center"/>
          </w:tcPr>
          <w:p w:rsidR="00057FA2" w:rsidRPr="00057FA2" w:rsidRDefault="00057FA2" w:rsidP="00057FA2">
            <w:pPr>
              <w:jc w:val="center"/>
              <w:rPr>
                <w:sz w:val="21"/>
                <w:szCs w:val="21"/>
              </w:rPr>
            </w:pPr>
            <w:r w:rsidRPr="00057FA2">
              <w:rPr>
                <w:sz w:val="21"/>
                <w:szCs w:val="21"/>
              </w:rPr>
              <w:t>0,1%</w:t>
            </w:r>
          </w:p>
        </w:tc>
        <w:tc>
          <w:tcPr>
            <w:tcW w:w="794" w:type="dxa"/>
            <w:vAlign w:val="center"/>
          </w:tcPr>
          <w:p w:rsidR="00057FA2" w:rsidRPr="00057FA2" w:rsidRDefault="00D34823" w:rsidP="002E14C6">
            <w:pPr>
              <w:jc w:val="center"/>
              <w:rPr>
                <w:sz w:val="21"/>
                <w:szCs w:val="21"/>
              </w:rPr>
            </w:pPr>
            <w:r>
              <w:rPr>
                <w:sz w:val="21"/>
                <w:szCs w:val="21"/>
              </w:rPr>
              <w:t>0,3%</w:t>
            </w:r>
          </w:p>
        </w:tc>
        <w:tc>
          <w:tcPr>
            <w:tcW w:w="1191" w:type="dxa"/>
            <w:vAlign w:val="center"/>
          </w:tcPr>
          <w:p w:rsidR="00057FA2" w:rsidRPr="00057FA2" w:rsidRDefault="00057FA2" w:rsidP="00057FA2">
            <w:pPr>
              <w:jc w:val="center"/>
              <w:rPr>
                <w:sz w:val="21"/>
                <w:szCs w:val="21"/>
              </w:rPr>
            </w:pPr>
            <w:r w:rsidRPr="00057FA2">
              <w:rPr>
                <w:sz w:val="21"/>
                <w:szCs w:val="21"/>
              </w:rPr>
              <w:t>2,6 / 22,0%</w:t>
            </w:r>
          </w:p>
        </w:tc>
        <w:tc>
          <w:tcPr>
            <w:tcW w:w="1191" w:type="dxa"/>
            <w:vAlign w:val="center"/>
          </w:tcPr>
          <w:p w:rsidR="00057FA2" w:rsidRPr="00057FA2" w:rsidRDefault="00D34823" w:rsidP="00D34823">
            <w:pPr>
              <w:jc w:val="center"/>
              <w:rPr>
                <w:sz w:val="21"/>
                <w:szCs w:val="21"/>
              </w:rPr>
            </w:pPr>
            <w:r>
              <w:rPr>
                <w:sz w:val="21"/>
                <w:szCs w:val="21"/>
              </w:rPr>
              <w:t>14</w:t>
            </w:r>
            <w:r w:rsidR="00057FA2" w:rsidRPr="00057FA2">
              <w:rPr>
                <w:sz w:val="21"/>
                <w:szCs w:val="21"/>
              </w:rPr>
              <w:t xml:space="preserve">,6 / </w:t>
            </w:r>
            <w:r>
              <w:rPr>
                <w:sz w:val="21"/>
                <w:szCs w:val="21"/>
              </w:rPr>
              <w:t>101,4</w:t>
            </w:r>
            <w:r w:rsidR="00057FA2" w:rsidRPr="00057FA2">
              <w:rPr>
                <w:sz w:val="21"/>
                <w:szCs w:val="21"/>
              </w:rPr>
              <w:t>%</w:t>
            </w:r>
          </w:p>
        </w:tc>
      </w:tr>
      <w:tr w:rsidR="00057FA2" w:rsidRPr="00057FA2" w:rsidTr="00057FA2">
        <w:tc>
          <w:tcPr>
            <w:tcW w:w="2438" w:type="dxa"/>
          </w:tcPr>
          <w:p w:rsidR="00057FA2" w:rsidRPr="00057FA2" w:rsidRDefault="00057FA2" w:rsidP="00057FA2">
            <w:pPr>
              <w:rPr>
                <w:sz w:val="21"/>
                <w:szCs w:val="21"/>
              </w:rPr>
            </w:pPr>
            <w:r w:rsidRPr="00057FA2">
              <w:rPr>
                <w:sz w:val="21"/>
                <w:szCs w:val="21"/>
              </w:rPr>
              <w:t>Физическая культура и спорт</w:t>
            </w:r>
          </w:p>
        </w:tc>
        <w:tc>
          <w:tcPr>
            <w:tcW w:w="850" w:type="dxa"/>
            <w:vAlign w:val="center"/>
          </w:tcPr>
          <w:p w:rsidR="00057FA2" w:rsidRPr="00057FA2" w:rsidRDefault="00057FA2" w:rsidP="00057FA2">
            <w:pPr>
              <w:jc w:val="center"/>
              <w:rPr>
                <w:sz w:val="21"/>
                <w:szCs w:val="21"/>
              </w:rPr>
            </w:pPr>
            <w:r w:rsidRPr="00057FA2">
              <w:rPr>
                <w:sz w:val="21"/>
                <w:szCs w:val="21"/>
              </w:rPr>
              <w:t>0,9</w:t>
            </w:r>
          </w:p>
        </w:tc>
        <w:tc>
          <w:tcPr>
            <w:tcW w:w="907" w:type="dxa"/>
            <w:vAlign w:val="center"/>
          </w:tcPr>
          <w:p w:rsidR="00057FA2" w:rsidRPr="00057FA2" w:rsidRDefault="00057FA2" w:rsidP="00057FA2">
            <w:pPr>
              <w:jc w:val="center"/>
              <w:rPr>
                <w:sz w:val="21"/>
                <w:szCs w:val="21"/>
              </w:rPr>
            </w:pPr>
            <w:r w:rsidRPr="00057FA2">
              <w:rPr>
                <w:sz w:val="21"/>
                <w:szCs w:val="21"/>
              </w:rPr>
              <w:t>1,6</w:t>
            </w:r>
          </w:p>
        </w:tc>
        <w:tc>
          <w:tcPr>
            <w:tcW w:w="851" w:type="dxa"/>
            <w:vAlign w:val="center"/>
          </w:tcPr>
          <w:p w:rsidR="00057FA2" w:rsidRPr="00057FA2" w:rsidRDefault="00057FA2" w:rsidP="002E14C6">
            <w:pPr>
              <w:jc w:val="center"/>
              <w:rPr>
                <w:sz w:val="21"/>
                <w:szCs w:val="21"/>
              </w:rPr>
            </w:pPr>
          </w:p>
        </w:tc>
        <w:tc>
          <w:tcPr>
            <w:tcW w:w="794" w:type="dxa"/>
            <w:vAlign w:val="center"/>
          </w:tcPr>
          <w:p w:rsidR="00057FA2" w:rsidRPr="00057FA2" w:rsidRDefault="00057FA2" w:rsidP="00057FA2">
            <w:pPr>
              <w:jc w:val="center"/>
              <w:rPr>
                <w:sz w:val="21"/>
                <w:szCs w:val="21"/>
              </w:rPr>
            </w:pPr>
            <w:r w:rsidRPr="00057FA2">
              <w:rPr>
                <w:sz w:val="21"/>
                <w:szCs w:val="21"/>
              </w:rPr>
              <w:t>0,0%</w:t>
            </w:r>
          </w:p>
        </w:tc>
        <w:tc>
          <w:tcPr>
            <w:tcW w:w="794" w:type="dxa"/>
            <w:vAlign w:val="center"/>
          </w:tcPr>
          <w:p w:rsidR="00057FA2" w:rsidRPr="00057FA2" w:rsidRDefault="00057FA2" w:rsidP="00057FA2">
            <w:pPr>
              <w:jc w:val="center"/>
              <w:rPr>
                <w:sz w:val="21"/>
                <w:szCs w:val="21"/>
              </w:rPr>
            </w:pPr>
            <w:r w:rsidRPr="00057FA2">
              <w:rPr>
                <w:sz w:val="21"/>
                <w:szCs w:val="21"/>
              </w:rPr>
              <w:t>0,0%</w:t>
            </w:r>
          </w:p>
        </w:tc>
        <w:tc>
          <w:tcPr>
            <w:tcW w:w="794" w:type="dxa"/>
            <w:vAlign w:val="center"/>
          </w:tcPr>
          <w:p w:rsidR="00057FA2" w:rsidRPr="00057FA2" w:rsidRDefault="00057FA2" w:rsidP="002E14C6">
            <w:pPr>
              <w:jc w:val="center"/>
              <w:rPr>
                <w:sz w:val="21"/>
                <w:szCs w:val="21"/>
              </w:rPr>
            </w:pPr>
          </w:p>
        </w:tc>
        <w:tc>
          <w:tcPr>
            <w:tcW w:w="1191" w:type="dxa"/>
            <w:vAlign w:val="center"/>
          </w:tcPr>
          <w:p w:rsidR="00057FA2" w:rsidRPr="00057FA2" w:rsidRDefault="00057FA2" w:rsidP="00057FA2">
            <w:pPr>
              <w:jc w:val="center"/>
              <w:rPr>
                <w:sz w:val="21"/>
                <w:szCs w:val="21"/>
              </w:rPr>
            </w:pPr>
            <w:r w:rsidRPr="00057FA2">
              <w:rPr>
                <w:sz w:val="21"/>
                <w:szCs w:val="21"/>
              </w:rPr>
              <w:t>0,7 / 77,8%</w:t>
            </w:r>
          </w:p>
        </w:tc>
        <w:tc>
          <w:tcPr>
            <w:tcW w:w="1191" w:type="dxa"/>
            <w:vAlign w:val="center"/>
          </w:tcPr>
          <w:p w:rsidR="00057FA2" w:rsidRPr="00057FA2" w:rsidRDefault="00057FA2" w:rsidP="002E14C6">
            <w:pPr>
              <w:jc w:val="center"/>
              <w:rPr>
                <w:sz w:val="21"/>
                <w:szCs w:val="21"/>
              </w:rPr>
            </w:pPr>
          </w:p>
        </w:tc>
      </w:tr>
      <w:tr w:rsidR="00057FA2" w:rsidRPr="00057FA2" w:rsidTr="00057FA2">
        <w:tc>
          <w:tcPr>
            <w:tcW w:w="2438" w:type="dxa"/>
          </w:tcPr>
          <w:p w:rsidR="00057FA2" w:rsidRPr="00057FA2" w:rsidRDefault="00057FA2" w:rsidP="004B6B0C">
            <w:pPr>
              <w:spacing w:before="120"/>
              <w:rPr>
                <w:b/>
                <w:sz w:val="21"/>
                <w:szCs w:val="21"/>
              </w:rPr>
            </w:pPr>
            <w:r w:rsidRPr="00057FA2">
              <w:rPr>
                <w:b/>
                <w:sz w:val="21"/>
                <w:szCs w:val="21"/>
              </w:rPr>
              <w:t>Итого расходов</w:t>
            </w:r>
          </w:p>
        </w:tc>
        <w:tc>
          <w:tcPr>
            <w:tcW w:w="850" w:type="dxa"/>
            <w:vAlign w:val="center"/>
          </w:tcPr>
          <w:p w:rsidR="00057FA2" w:rsidRPr="00057FA2" w:rsidRDefault="00057FA2" w:rsidP="00057FA2">
            <w:pPr>
              <w:jc w:val="center"/>
              <w:rPr>
                <w:b/>
                <w:sz w:val="21"/>
                <w:szCs w:val="21"/>
              </w:rPr>
            </w:pPr>
            <w:r w:rsidRPr="00057FA2">
              <w:rPr>
                <w:b/>
                <w:sz w:val="21"/>
                <w:szCs w:val="21"/>
              </w:rPr>
              <w:t>7742,7</w:t>
            </w:r>
          </w:p>
        </w:tc>
        <w:tc>
          <w:tcPr>
            <w:tcW w:w="907" w:type="dxa"/>
            <w:vAlign w:val="center"/>
          </w:tcPr>
          <w:p w:rsidR="00057FA2" w:rsidRPr="00057FA2" w:rsidRDefault="00057FA2" w:rsidP="00057FA2">
            <w:pPr>
              <w:jc w:val="center"/>
              <w:rPr>
                <w:b/>
                <w:spacing w:val="-2"/>
                <w:sz w:val="21"/>
                <w:szCs w:val="21"/>
              </w:rPr>
            </w:pPr>
            <w:r w:rsidRPr="00057FA2">
              <w:rPr>
                <w:b/>
                <w:spacing w:val="-2"/>
                <w:sz w:val="21"/>
                <w:szCs w:val="21"/>
              </w:rPr>
              <w:t>10702,3</w:t>
            </w:r>
          </w:p>
        </w:tc>
        <w:tc>
          <w:tcPr>
            <w:tcW w:w="851" w:type="dxa"/>
            <w:vAlign w:val="center"/>
          </w:tcPr>
          <w:p w:rsidR="00057FA2" w:rsidRPr="00057FA2" w:rsidRDefault="00D34823" w:rsidP="00E34912">
            <w:pPr>
              <w:jc w:val="center"/>
              <w:rPr>
                <w:b/>
                <w:spacing w:val="-2"/>
                <w:sz w:val="21"/>
                <w:szCs w:val="21"/>
              </w:rPr>
            </w:pPr>
            <w:r>
              <w:rPr>
                <w:b/>
                <w:spacing w:val="-2"/>
                <w:sz w:val="21"/>
                <w:szCs w:val="21"/>
              </w:rPr>
              <w:t>8343,7</w:t>
            </w:r>
          </w:p>
        </w:tc>
        <w:tc>
          <w:tcPr>
            <w:tcW w:w="794" w:type="dxa"/>
            <w:vAlign w:val="center"/>
          </w:tcPr>
          <w:p w:rsidR="00057FA2" w:rsidRPr="00057FA2" w:rsidRDefault="00057FA2" w:rsidP="002E14C6">
            <w:pPr>
              <w:jc w:val="center"/>
              <w:rPr>
                <w:b/>
                <w:sz w:val="21"/>
                <w:szCs w:val="21"/>
              </w:rPr>
            </w:pPr>
            <w:r w:rsidRPr="00057FA2">
              <w:rPr>
                <w:b/>
                <w:sz w:val="21"/>
                <w:szCs w:val="21"/>
              </w:rPr>
              <w:t>100%</w:t>
            </w:r>
          </w:p>
        </w:tc>
        <w:tc>
          <w:tcPr>
            <w:tcW w:w="794" w:type="dxa"/>
            <w:vAlign w:val="center"/>
          </w:tcPr>
          <w:p w:rsidR="00057FA2" w:rsidRPr="00057FA2" w:rsidRDefault="00057FA2" w:rsidP="002E14C6">
            <w:pPr>
              <w:jc w:val="center"/>
              <w:rPr>
                <w:b/>
                <w:sz w:val="21"/>
                <w:szCs w:val="21"/>
              </w:rPr>
            </w:pPr>
            <w:r w:rsidRPr="00057FA2">
              <w:rPr>
                <w:b/>
                <w:sz w:val="21"/>
                <w:szCs w:val="21"/>
              </w:rPr>
              <w:t>100%</w:t>
            </w:r>
          </w:p>
        </w:tc>
        <w:tc>
          <w:tcPr>
            <w:tcW w:w="794" w:type="dxa"/>
            <w:vAlign w:val="center"/>
          </w:tcPr>
          <w:p w:rsidR="00057FA2" w:rsidRPr="00057FA2" w:rsidRDefault="00057FA2" w:rsidP="002E14C6">
            <w:pPr>
              <w:jc w:val="center"/>
              <w:rPr>
                <w:b/>
                <w:sz w:val="21"/>
                <w:szCs w:val="21"/>
              </w:rPr>
            </w:pPr>
            <w:r w:rsidRPr="00057FA2">
              <w:rPr>
                <w:b/>
                <w:sz w:val="21"/>
                <w:szCs w:val="21"/>
              </w:rPr>
              <w:t>100%</w:t>
            </w:r>
          </w:p>
        </w:tc>
        <w:tc>
          <w:tcPr>
            <w:tcW w:w="1191" w:type="dxa"/>
            <w:vAlign w:val="center"/>
          </w:tcPr>
          <w:p w:rsidR="00057FA2" w:rsidRPr="00057FA2" w:rsidRDefault="00057FA2" w:rsidP="00057FA2">
            <w:pPr>
              <w:jc w:val="center"/>
              <w:rPr>
                <w:b/>
                <w:sz w:val="21"/>
                <w:szCs w:val="21"/>
              </w:rPr>
            </w:pPr>
            <w:r w:rsidRPr="00057FA2">
              <w:rPr>
                <w:b/>
                <w:sz w:val="21"/>
                <w:szCs w:val="21"/>
              </w:rPr>
              <w:t>2959,6 / 38,2%</w:t>
            </w:r>
          </w:p>
        </w:tc>
        <w:tc>
          <w:tcPr>
            <w:tcW w:w="1191" w:type="dxa"/>
            <w:vAlign w:val="center"/>
          </w:tcPr>
          <w:p w:rsidR="00D34823" w:rsidRDefault="00D34823" w:rsidP="00D34823">
            <w:pPr>
              <w:jc w:val="center"/>
              <w:rPr>
                <w:b/>
                <w:sz w:val="21"/>
                <w:szCs w:val="21"/>
              </w:rPr>
            </w:pPr>
            <w:r>
              <w:rPr>
                <w:b/>
                <w:sz w:val="21"/>
                <w:szCs w:val="21"/>
              </w:rPr>
              <w:t>-2358,</w:t>
            </w:r>
            <w:r w:rsidR="00057FA2" w:rsidRPr="00057FA2">
              <w:rPr>
                <w:b/>
                <w:sz w:val="21"/>
                <w:szCs w:val="21"/>
              </w:rPr>
              <w:t xml:space="preserve">6 / </w:t>
            </w:r>
          </w:p>
          <w:p w:rsidR="00057FA2" w:rsidRPr="00057FA2" w:rsidRDefault="00D34823" w:rsidP="00D34823">
            <w:pPr>
              <w:jc w:val="center"/>
              <w:rPr>
                <w:b/>
                <w:sz w:val="21"/>
                <w:szCs w:val="21"/>
              </w:rPr>
            </w:pPr>
            <w:r>
              <w:rPr>
                <w:b/>
                <w:sz w:val="21"/>
                <w:szCs w:val="21"/>
              </w:rPr>
              <w:t>-22,0</w:t>
            </w:r>
            <w:r w:rsidR="00057FA2" w:rsidRPr="00057FA2">
              <w:rPr>
                <w:b/>
                <w:sz w:val="21"/>
                <w:szCs w:val="21"/>
              </w:rPr>
              <w:t>%</w:t>
            </w:r>
          </w:p>
        </w:tc>
      </w:tr>
    </w:tbl>
    <w:p w:rsidR="004A13B7" w:rsidRPr="0029403D" w:rsidRDefault="004A13B7" w:rsidP="00CA5EBE">
      <w:pPr>
        <w:spacing w:before="120"/>
        <w:ind w:firstLine="567"/>
        <w:jc w:val="both"/>
      </w:pPr>
      <w:r w:rsidRPr="0029403D">
        <w:rPr>
          <w:b/>
        </w:rPr>
        <w:t xml:space="preserve">По разделу 01 «Общегосударственные вопросы» </w:t>
      </w:r>
      <w:r w:rsidRPr="0029403D">
        <w:t xml:space="preserve">расходы в </w:t>
      </w:r>
      <w:r w:rsidR="00057FA2">
        <w:t>2015</w:t>
      </w:r>
      <w:r w:rsidRPr="0029403D">
        <w:t xml:space="preserve"> году </w:t>
      </w:r>
      <w:r w:rsidR="002D3343" w:rsidRPr="0029403D">
        <w:t>исполнены</w:t>
      </w:r>
      <w:r w:rsidRPr="0029403D">
        <w:t xml:space="preserve"> в объёме </w:t>
      </w:r>
      <w:r w:rsidR="00CA5EBE">
        <w:t>2413,0</w:t>
      </w:r>
      <w:r w:rsidR="00D10064">
        <w:t xml:space="preserve"> </w:t>
      </w:r>
      <w:r w:rsidRPr="0029403D">
        <w:t>тыс. руб.</w:t>
      </w:r>
      <w:r w:rsidR="00A915EB" w:rsidRPr="0029403D">
        <w:t xml:space="preserve"> или </w:t>
      </w:r>
      <w:r w:rsidR="00CA5EBE">
        <w:t>96,4</w:t>
      </w:r>
      <w:r w:rsidR="00A915EB" w:rsidRPr="0029403D">
        <w:t>%</w:t>
      </w:r>
      <w:r w:rsidR="00695ACA" w:rsidRPr="0029403D">
        <w:t xml:space="preserve"> к плану</w:t>
      </w:r>
      <w:r w:rsidR="00733AB7">
        <w:t xml:space="preserve"> </w:t>
      </w:r>
      <w:r w:rsidR="00A81EBD" w:rsidRPr="0029403D">
        <w:t>(</w:t>
      </w:r>
      <w:r w:rsidR="00D01A8F">
        <w:t>недоисполнение</w:t>
      </w:r>
      <w:r w:rsidR="00A81EBD" w:rsidRPr="0029403D">
        <w:t xml:space="preserve"> – </w:t>
      </w:r>
      <w:r w:rsidR="00CA5EBE">
        <w:t>89,2</w:t>
      </w:r>
      <w:r w:rsidR="00A81EBD" w:rsidRPr="0029403D">
        <w:t xml:space="preserve"> тыс. руб.)</w:t>
      </w:r>
      <w:r w:rsidRPr="0029403D">
        <w:t>.</w:t>
      </w:r>
      <w:r w:rsidR="002619DE" w:rsidRPr="0029403D">
        <w:t xml:space="preserve"> Удельный вес раздела в расходах бюджета составил </w:t>
      </w:r>
      <w:r w:rsidR="00CA5EBE">
        <w:t>28,9</w:t>
      </w:r>
      <w:r w:rsidR="002619DE" w:rsidRPr="0029403D">
        <w:t>%.</w:t>
      </w:r>
    </w:p>
    <w:p w:rsidR="00E34912" w:rsidRDefault="00E34912" w:rsidP="00E34912">
      <w:pPr>
        <w:spacing w:before="40"/>
        <w:ind w:firstLine="567"/>
        <w:jc w:val="both"/>
      </w:pPr>
      <w:r w:rsidRPr="0029403D">
        <w:t xml:space="preserve">При анализе исполнения местного бюджета за </w:t>
      </w:r>
      <w:r w:rsidR="00057FA2">
        <w:t>2015</w:t>
      </w:r>
      <w:r w:rsidRPr="0029403D">
        <w:t xml:space="preserve"> год установлено, что расходы на содержание главы муниципального образования в объёме </w:t>
      </w:r>
      <w:r w:rsidR="00CA5EBE">
        <w:t>459,6</w:t>
      </w:r>
      <w:r w:rsidRPr="0029403D">
        <w:t xml:space="preserve"> тыс. руб. соответствуют нормативу, установленному постановлением администрации Новосибирской области от 28.12.2007 № 206-па.</w:t>
      </w:r>
    </w:p>
    <w:p w:rsidR="00E34912" w:rsidRPr="00E50D4D" w:rsidRDefault="00E34912" w:rsidP="00E34912">
      <w:pPr>
        <w:spacing w:before="40"/>
        <w:ind w:firstLine="567"/>
        <w:jc w:val="both"/>
        <w:rPr>
          <w:spacing w:val="-2"/>
        </w:rPr>
      </w:pPr>
      <w:r>
        <w:rPr>
          <w:spacing w:val="-2"/>
        </w:rPr>
        <w:t>Проанализированы р</w:t>
      </w:r>
      <w:r w:rsidRPr="00E50D4D">
        <w:rPr>
          <w:spacing w:val="-2"/>
        </w:rPr>
        <w:t xml:space="preserve">асходы на содержание органов местного самоуправления </w:t>
      </w:r>
      <w:r>
        <w:rPr>
          <w:spacing w:val="-2"/>
        </w:rPr>
        <w:t>на соо</w:t>
      </w:r>
      <w:r>
        <w:rPr>
          <w:spacing w:val="-2"/>
        </w:rPr>
        <w:t>т</w:t>
      </w:r>
      <w:r>
        <w:rPr>
          <w:spacing w:val="-2"/>
        </w:rPr>
        <w:t>ветствие</w:t>
      </w:r>
      <w:r w:rsidRPr="00E50D4D">
        <w:rPr>
          <w:spacing w:val="-2"/>
        </w:rPr>
        <w:t xml:space="preserve"> нормативу, установленному постановлением администрации Новосибирской области от 28.12.2007 № 206-па</w:t>
      </w:r>
      <w:r>
        <w:rPr>
          <w:spacing w:val="-2"/>
        </w:rPr>
        <w:t>.</w:t>
      </w:r>
    </w:p>
    <w:p w:rsidR="00E34912" w:rsidRPr="00E50D4D" w:rsidRDefault="00E34912" w:rsidP="00E34912">
      <w:pPr>
        <w:spacing w:before="40"/>
        <w:ind w:firstLine="567"/>
        <w:jc w:val="both"/>
      </w:pPr>
      <w:proofErr w:type="gramStart"/>
      <w:r>
        <w:t xml:space="preserve">Фактические расходы составляют </w:t>
      </w:r>
      <w:r w:rsidR="00CA5EBE">
        <w:t>1621,8</w:t>
      </w:r>
      <w:r>
        <w:t xml:space="preserve"> тыс. руб., </w:t>
      </w:r>
      <w:r w:rsidR="00CA5EBE">
        <w:t xml:space="preserve">не включаются в норматив </w:t>
      </w:r>
      <w:r w:rsidR="00CA5EBE" w:rsidRPr="00E50D4D">
        <w:rPr>
          <w:spacing w:val="-2"/>
        </w:rPr>
        <w:t>расходы на содержание зданий и помещений муниципальной собственности, занимаемых администр</w:t>
      </w:r>
      <w:r w:rsidR="00CA5EBE" w:rsidRPr="00E50D4D">
        <w:rPr>
          <w:spacing w:val="-2"/>
        </w:rPr>
        <w:t>а</w:t>
      </w:r>
      <w:r w:rsidR="00CA5EBE" w:rsidRPr="00E50D4D">
        <w:rPr>
          <w:spacing w:val="-2"/>
        </w:rPr>
        <w:t>циями поселений с численностью населения менее 3000 человек</w:t>
      </w:r>
      <w:r w:rsidR="00CA5EBE">
        <w:rPr>
          <w:spacing w:val="-2"/>
        </w:rPr>
        <w:t>,</w:t>
      </w:r>
      <w:r w:rsidR="00CA5EBE" w:rsidRPr="00E50D4D">
        <w:rPr>
          <w:spacing w:val="-2"/>
        </w:rPr>
        <w:t xml:space="preserve"> в сумме </w:t>
      </w:r>
      <w:r w:rsidR="002933E3">
        <w:rPr>
          <w:spacing w:val="-2"/>
        </w:rPr>
        <w:t>98</w:t>
      </w:r>
      <w:r w:rsidR="00CA5EBE">
        <w:rPr>
          <w:spacing w:val="-2"/>
        </w:rPr>
        <w:t>,9</w:t>
      </w:r>
      <w:r w:rsidR="00CA5EBE" w:rsidRPr="00E50D4D">
        <w:rPr>
          <w:spacing w:val="-2"/>
        </w:rPr>
        <w:t xml:space="preserve"> тыс. руб.</w:t>
      </w:r>
      <w:r w:rsidR="00CA5EBE">
        <w:rPr>
          <w:spacing w:val="-2"/>
        </w:rPr>
        <w:t>, а та</w:t>
      </w:r>
      <w:r w:rsidR="00CA5EBE">
        <w:rPr>
          <w:spacing w:val="-2"/>
        </w:rPr>
        <w:t>к</w:t>
      </w:r>
      <w:r w:rsidR="00CA5EBE">
        <w:rPr>
          <w:spacing w:val="-2"/>
        </w:rPr>
        <w:t>же расходы, связанные с передачей полномочий муниципальному району</w:t>
      </w:r>
      <w:r>
        <w:rPr>
          <w:spacing w:val="-2"/>
        </w:rPr>
        <w:t xml:space="preserve">, в сумме </w:t>
      </w:r>
      <w:r w:rsidR="002933E3">
        <w:rPr>
          <w:spacing w:val="-2"/>
        </w:rPr>
        <w:t>33,8</w:t>
      </w:r>
      <w:r>
        <w:rPr>
          <w:spacing w:val="-2"/>
        </w:rPr>
        <w:t xml:space="preserve"> тыс. руб.</w:t>
      </w:r>
      <w:r w:rsidRPr="00E50D4D">
        <w:rPr>
          <w:spacing w:val="-2"/>
        </w:rPr>
        <w:t xml:space="preserve"> </w:t>
      </w:r>
      <w:r w:rsidRPr="00E50D4D">
        <w:t xml:space="preserve">Норматив – </w:t>
      </w:r>
      <w:r w:rsidR="002933E3">
        <w:t>1517,3</w:t>
      </w:r>
      <w:r w:rsidRPr="00E50D4D">
        <w:t xml:space="preserve"> тыс. руб. (</w:t>
      </w:r>
      <w:r>
        <w:t>59</w:t>
      </w:r>
      <w:r w:rsidR="002933E3">
        <w:t>3</w:t>
      </w:r>
      <w:r w:rsidRPr="00E50D4D">
        <w:t xml:space="preserve"> человек</w:t>
      </w:r>
      <w:r w:rsidR="002933E3">
        <w:t>а</w:t>
      </w:r>
      <w:r w:rsidRPr="00E50D4D">
        <w:t xml:space="preserve"> * </w:t>
      </w:r>
      <w:r>
        <w:t>2558</w:t>
      </w:r>
      <w:r w:rsidRPr="00E50D4D">
        <w:t>,</w:t>
      </w:r>
      <w:r>
        <w:t>7</w:t>
      </w:r>
      <w:r w:rsidRPr="00E50D4D">
        <w:t xml:space="preserve"> руб.).</w:t>
      </w:r>
      <w:proofErr w:type="gramEnd"/>
      <w:r w:rsidRPr="00290054">
        <w:rPr>
          <w:spacing w:val="-2"/>
        </w:rPr>
        <w:t xml:space="preserve"> </w:t>
      </w:r>
      <w:r>
        <w:rPr>
          <w:spacing w:val="-2"/>
        </w:rPr>
        <w:t xml:space="preserve">Значит, </w:t>
      </w:r>
      <w:r w:rsidR="002933E3">
        <w:t xml:space="preserve">1621,8 </w:t>
      </w:r>
      <w:r>
        <w:rPr>
          <w:spacing w:val="-2"/>
        </w:rPr>
        <w:t>-</w:t>
      </w:r>
      <w:r w:rsidR="002933E3">
        <w:rPr>
          <w:spacing w:val="-2"/>
        </w:rPr>
        <w:t xml:space="preserve"> </w:t>
      </w:r>
      <w:r w:rsidR="002933E3">
        <w:t xml:space="preserve">1517,3 </w:t>
      </w:r>
      <w:r>
        <w:rPr>
          <w:spacing w:val="-2"/>
        </w:rPr>
        <w:t>-</w:t>
      </w:r>
      <w:r w:rsidR="002933E3">
        <w:rPr>
          <w:spacing w:val="-2"/>
        </w:rPr>
        <w:t xml:space="preserve"> 98,9 -</w:t>
      </w:r>
      <w:r w:rsidR="002933E3">
        <w:rPr>
          <w:spacing w:val="-2"/>
        </w:rPr>
        <w:lastRenderedPageBreak/>
        <w:t xml:space="preserve">33,8 </w:t>
      </w:r>
      <w:r>
        <w:rPr>
          <w:spacing w:val="-2"/>
        </w:rPr>
        <w:t>=</w:t>
      </w:r>
      <w:r w:rsidR="002933E3">
        <w:rPr>
          <w:spacing w:val="-2"/>
        </w:rPr>
        <w:t xml:space="preserve"> </w:t>
      </w:r>
      <w:r w:rsidR="008E497E">
        <w:rPr>
          <w:spacing w:val="-2"/>
        </w:rPr>
        <w:t>-</w:t>
      </w:r>
      <w:r w:rsidR="002933E3">
        <w:rPr>
          <w:spacing w:val="-2"/>
        </w:rPr>
        <w:t>28,2</w:t>
      </w:r>
      <w:r>
        <w:rPr>
          <w:spacing w:val="-2"/>
        </w:rPr>
        <w:t xml:space="preserve"> тыс. руб. Следовательно, превышени</w:t>
      </w:r>
      <w:r w:rsidR="008E497E">
        <w:rPr>
          <w:spacing w:val="-2"/>
        </w:rPr>
        <w:t>я</w:t>
      </w:r>
      <w:r>
        <w:rPr>
          <w:spacing w:val="-2"/>
        </w:rPr>
        <w:t xml:space="preserve"> норматива </w:t>
      </w:r>
      <w:r w:rsidR="008E497E">
        <w:rPr>
          <w:spacing w:val="-2"/>
        </w:rPr>
        <w:t>нет</w:t>
      </w:r>
      <w:r>
        <w:rPr>
          <w:spacing w:val="-2"/>
        </w:rPr>
        <w:t xml:space="preserve">. </w:t>
      </w:r>
      <w:r w:rsidRPr="008E497E">
        <w:rPr>
          <w:spacing w:val="-2"/>
        </w:rPr>
        <w:t xml:space="preserve">Тем самым </w:t>
      </w:r>
      <w:r w:rsidR="008E497E">
        <w:rPr>
          <w:spacing w:val="-2"/>
        </w:rPr>
        <w:t xml:space="preserve">выполняется </w:t>
      </w:r>
      <w:r w:rsidRPr="008E497E">
        <w:rPr>
          <w:spacing w:val="-2"/>
        </w:rPr>
        <w:t>пункт 2 статьи 136 БК РФ.</w:t>
      </w:r>
    </w:p>
    <w:p w:rsidR="00A20F54" w:rsidRPr="00376513" w:rsidRDefault="00A20F54" w:rsidP="00A20F54">
      <w:pPr>
        <w:spacing w:before="40"/>
        <w:ind w:firstLine="567"/>
        <w:jc w:val="both"/>
        <w:rPr>
          <w:i/>
          <w:spacing w:val="-2"/>
          <w:sz w:val="20"/>
          <w:szCs w:val="20"/>
        </w:rPr>
      </w:pPr>
      <w:r w:rsidRPr="00376513">
        <w:rPr>
          <w:i/>
          <w:color w:val="000000"/>
          <w:spacing w:val="-2"/>
          <w:sz w:val="20"/>
          <w:szCs w:val="20"/>
        </w:rPr>
        <w:t>Для расчёта норматива использована численность населения по данным органа статистики на 01.01.</w:t>
      </w:r>
      <w:r w:rsidR="00057FA2">
        <w:rPr>
          <w:i/>
          <w:color w:val="000000"/>
          <w:spacing w:val="-2"/>
          <w:sz w:val="20"/>
          <w:szCs w:val="20"/>
        </w:rPr>
        <w:t>2015</w:t>
      </w:r>
      <w:r w:rsidRPr="00376513">
        <w:rPr>
          <w:i/>
          <w:color w:val="000000"/>
          <w:spacing w:val="-2"/>
          <w:sz w:val="20"/>
          <w:szCs w:val="20"/>
        </w:rPr>
        <w:t xml:space="preserve"> – </w:t>
      </w:r>
      <w:r w:rsidR="00E34912">
        <w:rPr>
          <w:i/>
          <w:color w:val="000000"/>
          <w:spacing w:val="-2"/>
          <w:sz w:val="20"/>
          <w:szCs w:val="20"/>
        </w:rPr>
        <w:t>59</w:t>
      </w:r>
      <w:r w:rsidR="002933E3">
        <w:rPr>
          <w:i/>
          <w:color w:val="000000"/>
          <w:spacing w:val="-2"/>
          <w:sz w:val="20"/>
          <w:szCs w:val="20"/>
        </w:rPr>
        <w:t>3</w:t>
      </w:r>
      <w:r w:rsidRPr="00376513">
        <w:rPr>
          <w:i/>
          <w:color w:val="000000"/>
          <w:spacing w:val="-2"/>
          <w:sz w:val="20"/>
          <w:szCs w:val="20"/>
        </w:rPr>
        <w:t xml:space="preserve"> человек</w:t>
      </w:r>
      <w:r w:rsidR="002933E3">
        <w:rPr>
          <w:i/>
          <w:color w:val="000000"/>
          <w:spacing w:val="-2"/>
          <w:sz w:val="20"/>
          <w:szCs w:val="20"/>
        </w:rPr>
        <w:t>а</w:t>
      </w:r>
      <w:r w:rsidRPr="00376513">
        <w:rPr>
          <w:i/>
          <w:color w:val="000000"/>
          <w:spacing w:val="-2"/>
          <w:sz w:val="20"/>
          <w:szCs w:val="20"/>
        </w:rPr>
        <w:t xml:space="preserve"> согласно</w:t>
      </w:r>
      <w:r w:rsidRPr="00376513">
        <w:rPr>
          <w:i/>
          <w:spacing w:val="-2"/>
          <w:sz w:val="20"/>
          <w:szCs w:val="20"/>
        </w:rPr>
        <w:t xml:space="preserve"> постановлению администрации Новосибирской области от 28.12.2007 № 206-па.</w:t>
      </w:r>
    </w:p>
    <w:p w:rsidR="004A13B7" w:rsidRPr="0029403D" w:rsidRDefault="004A13B7" w:rsidP="00B715B7">
      <w:pPr>
        <w:spacing w:before="60"/>
        <w:ind w:firstLine="567"/>
        <w:jc w:val="both"/>
      </w:pPr>
      <w:r w:rsidRPr="0029403D">
        <w:rPr>
          <w:b/>
        </w:rPr>
        <w:t xml:space="preserve">По разделу 02 «Национальная оборона» </w:t>
      </w:r>
      <w:r w:rsidR="00C800CC" w:rsidRPr="0029403D">
        <w:t xml:space="preserve">расходы в </w:t>
      </w:r>
      <w:r w:rsidR="00057FA2">
        <w:t>2015</w:t>
      </w:r>
      <w:r w:rsidR="00C800CC" w:rsidRPr="0029403D">
        <w:t xml:space="preserve"> году исполнены в объёме </w:t>
      </w:r>
      <w:r w:rsidR="002933E3">
        <w:t>77,4</w:t>
      </w:r>
      <w:r w:rsidR="00C800CC" w:rsidRPr="0029403D">
        <w:t> тыс. руб. или 100% к плану.</w:t>
      </w:r>
      <w:r w:rsidR="00F34DB4" w:rsidRPr="0029403D">
        <w:t xml:space="preserve"> Удельный вес разде</w:t>
      </w:r>
      <w:r w:rsidR="00D41CF5">
        <w:t xml:space="preserve">ла в расходах бюджета составил </w:t>
      </w:r>
      <w:r w:rsidR="008E1FFF">
        <w:t>0,</w:t>
      </w:r>
      <w:r w:rsidR="002933E3">
        <w:t>9</w:t>
      </w:r>
      <w:r w:rsidR="00F34DB4" w:rsidRPr="0029403D">
        <w:t>%.</w:t>
      </w:r>
    </w:p>
    <w:p w:rsidR="00104D65" w:rsidRPr="0029403D" w:rsidRDefault="00104D65" w:rsidP="00B715B7">
      <w:pPr>
        <w:spacing w:before="60"/>
        <w:ind w:firstLine="567"/>
        <w:jc w:val="both"/>
      </w:pPr>
      <w:r w:rsidRPr="0029403D">
        <w:rPr>
          <w:b/>
        </w:rPr>
        <w:t>По разделу 0</w:t>
      </w:r>
      <w:r>
        <w:rPr>
          <w:b/>
        </w:rPr>
        <w:t>3</w:t>
      </w:r>
      <w:r w:rsidRPr="0029403D">
        <w:rPr>
          <w:b/>
        </w:rPr>
        <w:t xml:space="preserve"> «Национальная</w:t>
      </w:r>
      <w:r>
        <w:rPr>
          <w:b/>
        </w:rPr>
        <w:t xml:space="preserve"> безопасность и правоохранительная деятельность</w:t>
      </w:r>
      <w:r w:rsidRPr="0029403D">
        <w:rPr>
          <w:b/>
        </w:rPr>
        <w:t xml:space="preserve">» </w:t>
      </w:r>
      <w:r w:rsidRPr="0029403D">
        <w:t xml:space="preserve">расходы в </w:t>
      </w:r>
      <w:r w:rsidR="00057FA2">
        <w:t>2015</w:t>
      </w:r>
      <w:r w:rsidRPr="0029403D">
        <w:t xml:space="preserve"> году исполнены в объёме </w:t>
      </w:r>
      <w:r w:rsidR="008E497E">
        <w:t>7</w:t>
      </w:r>
      <w:r w:rsidR="002933E3">
        <w:t>,5</w:t>
      </w:r>
      <w:r w:rsidR="004D04AA">
        <w:t xml:space="preserve"> тыс. руб.</w:t>
      </w:r>
      <w:r w:rsidRPr="0029403D">
        <w:t xml:space="preserve"> или </w:t>
      </w:r>
      <w:r w:rsidR="008E497E">
        <w:t>100</w:t>
      </w:r>
      <w:r w:rsidRPr="0029403D">
        <w:t>% к плану. Удельный вес ра</w:t>
      </w:r>
      <w:r w:rsidRPr="0029403D">
        <w:t>з</w:t>
      </w:r>
      <w:r w:rsidRPr="0029403D">
        <w:t xml:space="preserve">дела в расходах бюджета составил </w:t>
      </w:r>
      <w:r w:rsidR="008E497E">
        <w:t>0,</w:t>
      </w:r>
      <w:r w:rsidR="0019024D">
        <w:t>1</w:t>
      </w:r>
      <w:r w:rsidRPr="0029403D">
        <w:t>%.</w:t>
      </w:r>
    </w:p>
    <w:p w:rsidR="001C77B9" w:rsidRDefault="001C77B9" w:rsidP="00B715B7">
      <w:pPr>
        <w:spacing w:before="60"/>
        <w:ind w:firstLine="567"/>
        <w:jc w:val="both"/>
      </w:pPr>
      <w:r w:rsidRPr="0029403D">
        <w:rPr>
          <w:b/>
        </w:rPr>
        <w:t>По разделу 0</w:t>
      </w:r>
      <w:r>
        <w:rPr>
          <w:b/>
        </w:rPr>
        <w:t>4</w:t>
      </w:r>
      <w:r w:rsidRPr="0029403D">
        <w:rPr>
          <w:b/>
        </w:rPr>
        <w:t xml:space="preserve"> «Национальная</w:t>
      </w:r>
      <w:r>
        <w:rPr>
          <w:b/>
        </w:rPr>
        <w:t xml:space="preserve"> экономика</w:t>
      </w:r>
      <w:r w:rsidRPr="0029403D">
        <w:rPr>
          <w:b/>
        </w:rPr>
        <w:t xml:space="preserve">» </w:t>
      </w:r>
      <w:r w:rsidRPr="0029403D">
        <w:t xml:space="preserve">расходы в </w:t>
      </w:r>
      <w:r w:rsidR="00057FA2">
        <w:t>2015</w:t>
      </w:r>
      <w:r w:rsidRPr="0029403D">
        <w:t xml:space="preserve"> году исполнены в объёме </w:t>
      </w:r>
      <w:r w:rsidR="0019024D">
        <w:t>631,9</w:t>
      </w:r>
      <w:r w:rsidRPr="0029403D">
        <w:t xml:space="preserve"> тыс. руб. или </w:t>
      </w:r>
      <w:r w:rsidR="0019024D">
        <w:t>90,6</w:t>
      </w:r>
      <w:r w:rsidRPr="0029403D">
        <w:t>% к плану</w:t>
      </w:r>
      <w:r w:rsidR="008E1FFF">
        <w:t xml:space="preserve"> </w:t>
      </w:r>
      <w:r w:rsidR="008E1FFF" w:rsidRPr="0029403D">
        <w:t>(</w:t>
      </w:r>
      <w:r w:rsidR="008E1FFF">
        <w:t>недоисполнение</w:t>
      </w:r>
      <w:r w:rsidR="008E1FFF" w:rsidRPr="0029403D">
        <w:t xml:space="preserve"> – </w:t>
      </w:r>
      <w:r w:rsidR="0019024D">
        <w:t>65,6</w:t>
      </w:r>
      <w:r w:rsidR="008E1FFF" w:rsidRPr="0029403D">
        <w:t xml:space="preserve"> тыс. руб.).</w:t>
      </w:r>
      <w:r>
        <w:t xml:space="preserve"> </w:t>
      </w:r>
      <w:r w:rsidR="008E1FFF" w:rsidRPr="0029403D">
        <w:t xml:space="preserve">Удельный вес раздела в расходах бюджета составил </w:t>
      </w:r>
      <w:r w:rsidR="0019024D">
        <w:t>7,6</w:t>
      </w:r>
      <w:r w:rsidR="008E1FFF" w:rsidRPr="0029403D">
        <w:t>%.</w:t>
      </w:r>
      <w:r w:rsidR="008E1FFF">
        <w:t xml:space="preserve"> </w:t>
      </w:r>
      <w:r w:rsidR="00213F69">
        <w:t xml:space="preserve">Согласно пояснительной записке </w:t>
      </w:r>
      <w:r w:rsidR="0019024D">
        <w:t xml:space="preserve">недоисполнение </w:t>
      </w:r>
      <w:r w:rsidR="00213F69">
        <w:t>расх</w:t>
      </w:r>
      <w:r w:rsidR="00213F69">
        <w:t>о</w:t>
      </w:r>
      <w:r w:rsidR="00213F69">
        <w:t xml:space="preserve">дов по данному разделу связано </w:t>
      </w:r>
      <w:r w:rsidR="0019024D">
        <w:t>с н</w:t>
      </w:r>
      <w:r w:rsidR="0019024D" w:rsidRPr="0019024D">
        <w:t>есвоевременность</w:t>
      </w:r>
      <w:r w:rsidR="0019024D">
        <w:t>ю</w:t>
      </w:r>
      <w:r w:rsidR="0019024D" w:rsidRPr="0019024D">
        <w:t xml:space="preserve"> представления поставщиками (по</w:t>
      </w:r>
      <w:r w:rsidR="0019024D" w:rsidRPr="0019024D">
        <w:t>д</w:t>
      </w:r>
      <w:r w:rsidR="0019024D" w:rsidRPr="0019024D">
        <w:t>рядчиками, исполнителями) документов для расчетов</w:t>
      </w:r>
      <w:r w:rsidR="0019024D">
        <w:t>.</w:t>
      </w:r>
    </w:p>
    <w:p w:rsidR="00D34823" w:rsidRDefault="00D34823" w:rsidP="00D34823">
      <w:pPr>
        <w:spacing w:before="40"/>
        <w:ind w:firstLine="567"/>
        <w:jc w:val="both"/>
        <w:rPr>
          <w:i/>
          <w:spacing w:val="-4"/>
        </w:rPr>
      </w:pPr>
      <w:r w:rsidRPr="00691366">
        <w:rPr>
          <w:i/>
          <w:spacing w:val="-4"/>
        </w:rPr>
        <w:t>Ревизионная комиссия отмечает</w:t>
      </w:r>
      <w:r>
        <w:rPr>
          <w:i/>
          <w:spacing w:val="-4"/>
        </w:rPr>
        <w:t xml:space="preserve"> следующее:</w:t>
      </w:r>
    </w:p>
    <w:p w:rsidR="00D34823" w:rsidRPr="0067446F" w:rsidRDefault="00D34823" w:rsidP="00D34823">
      <w:pPr>
        <w:spacing w:before="40"/>
        <w:ind w:firstLine="567"/>
        <w:jc w:val="both"/>
        <w:rPr>
          <w:b/>
          <w:i/>
        </w:rPr>
      </w:pPr>
      <w:proofErr w:type="gramStart"/>
      <w:r w:rsidRPr="00C821D9">
        <w:t>1) уточнённые бюджетные назна</w:t>
      </w:r>
      <w:r>
        <w:t>чения по разделу/подразделу 0409 «</w:t>
      </w:r>
      <w:r w:rsidRPr="00C821D9">
        <w:t>Дорожное хозя</w:t>
      </w:r>
      <w:r w:rsidRPr="00C821D9">
        <w:t>й</w:t>
      </w:r>
      <w:r w:rsidRPr="00C821D9">
        <w:t>ство (дорожные фонды)</w:t>
      </w:r>
      <w:r>
        <w:t xml:space="preserve">» составляют </w:t>
      </w:r>
      <w:r w:rsidR="0019024D">
        <w:t>697,5</w:t>
      </w:r>
      <w:r>
        <w:t xml:space="preserve"> тыс. руб., что меньше </w:t>
      </w:r>
      <w:r w:rsidRPr="00C821D9">
        <w:t>уточнённы</w:t>
      </w:r>
      <w:r>
        <w:t>х</w:t>
      </w:r>
      <w:r w:rsidRPr="00C821D9">
        <w:t xml:space="preserve"> бюджетны</w:t>
      </w:r>
      <w:r>
        <w:t>х</w:t>
      </w:r>
      <w:r w:rsidRPr="00C821D9">
        <w:t xml:space="preserve"> назна</w:t>
      </w:r>
      <w:r>
        <w:t xml:space="preserve">чений по КБК </w:t>
      </w:r>
      <w:r w:rsidR="0019024D">
        <w:t>295</w:t>
      </w:r>
      <w:r w:rsidRPr="00C821D9">
        <w:t xml:space="preserve"> 1 03 02000 01 0000 110</w:t>
      </w:r>
      <w:r>
        <w:t xml:space="preserve"> «</w:t>
      </w:r>
      <w:r w:rsidRPr="00C821D9">
        <w:t>Акцизы по подакцизным товарам (проду</w:t>
      </w:r>
      <w:r w:rsidRPr="00C821D9">
        <w:t>к</w:t>
      </w:r>
      <w:r w:rsidRPr="00C821D9">
        <w:t>ции), производимым на территории Российской Федерации</w:t>
      </w:r>
      <w:r>
        <w:t xml:space="preserve">» в сумме </w:t>
      </w:r>
      <w:r w:rsidR="0019024D">
        <w:t>753</w:t>
      </w:r>
      <w:r>
        <w:t xml:space="preserve">,9 тыс. руб., </w:t>
      </w:r>
      <w:r w:rsidRPr="002D21E9">
        <w:rPr>
          <w:b/>
          <w:i/>
        </w:rPr>
        <w:t>т</w:t>
      </w:r>
      <w:r w:rsidRPr="0067446F">
        <w:rPr>
          <w:b/>
          <w:i/>
        </w:rPr>
        <w:t>ем самым нарушен пункт 5 статьи 179.4 БК РФ:</w:t>
      </w:r>
      <w:proofErr w:type="gramEnd"/>
    </w:p>
    <w:p w:rsidR="00D34823" w:rsidRPr="0067446F" w:rsidRDefault="00D34823" w:rsidP="00D34823">
      <w:pPr>
        <w:pStyle w:val="ConsPlusNormal"/>
        <w:spacing w:before="40"/>
        <w:ind w:firstLine="540"/>
        <w:jc w:val="both"/>
        <w:rPr>
          <w:rFonts w:ascii="Times New Roman" w:hAnsi="Times New Roman" w:cs="Times New Roman"/>
          <w:i/>
        </w:rPr>
      </w:pPr>
      <w:r>
        <w:rPr>
          <w:rFonts w:ascii="Times New Roman" w:hAnsi="Times New Roman" w:cs="Times New Roman"/>
          <w:i/>
        </w:rPr>
        <w:t>«</w:t>
      </w:r>
      <w:r w:rsidRPr="0067446F">
        <w:rPr>
          <w:rFonts w:ascii="Times New Roman" w:hAnsi="Times New Roman" w:cs="Times New Roman"/>
          <w:i/>
        </w:rPr>
        <w:t>Объем бюджетных ассигнований муниципального дорожного фонда утверждается решением о мес</w:t>
      </w:r>
      <w:r w:rsidRPr="0067446F">
        <w:rPr>
          <w:rFonts w:ascii="Times New Roman" w:hAnsi="Times New Roman" w:cs="Times New Roman"/>
          <w:i/>
        </w:rPr>
        <w:t>т</w:t>
      </w:r>
      <w:r w:rsidRPr="0067446F">
        <w:rPr>
          <w:rFonts w:ascii="Times New Roman" w:hAnsi="Times New Roman" w:cs="Times New Roman"/>
          <w:i/>
        </w:rPr>
        <w:t>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w:t>
      </w:r>
      <w:r w:rsidRPr="0067446F">
        <w:rPr>
          <w:rFonts w:ascii="Times New Roman" w:hAnsi="Times New Roman" w:cs="Times New Roman"/>
          <w:i/>
        </w:rPr>
        <w:t>а</w:t>
      </w:r>
      <w:r w:rsidRPr="0067446F">
        <w:rPr>
          <w:rFonts w:ascii="Times New Roman" w:hAnsi="Times New Roman" w:cs="Times New Roman"/>
          <w:i/>
        </w:rPr>
        <w:t xml:space="preserve">вительного органа муниципального образования, указанным в </w:t>
      </w:r>
      <w:hyperlink w:anchor="P4659" w:history="1">
        <w:r w:rsidRPr="0067446F">
          <w:rPr>
            <w:rFonts w:ascii="Times New Roman" w:hAnsi="Times New Roman" w:cs="Times New Roman"/>
            <w:i/>
            <w:color w:val="0000FF"/>
          </w:rPr>
          <w:t>абзаце первом</w:t>
        </w:r>
      </w:hyperlink>
      <w:r w:rsidRPr="0067446F">
        <w:rPr>
          <w:rFonts w:ascii="Times New Roman" w:hAnsi="Times New Roman" w:cs="Times New Roman"/>
          <w:i/>
        </w:rPr>
        <w:t xml:space="preserve"> настоящего пункта, </w:t>
      </w:r>
      <w:proofErr w:type="gramStart"/>
      <w:r w:rsidRPr="0067446F">
        <w:rPr>
          <w:rFonts w:ascii="Times New Roman" w:hAnsi="Times New Roman" w:cs="Times New Roman"/>
          <w:i/>
        </w:rPr>
        <w:t>от</w:t>
      </w:r>
      <w:proofErr w:type="gramEnd"/>
      <w:r w:rsidRPr="0067446F">
        <w:rPr>
          <w:rFonts w:ascii="Times New Roman" w:hAnsi="Times New Roman" w:cs="Times New Roman"/>
          <w:i/>
        </w:rPr>
        <w:t>:</w:t>
      </w:r>
    </w:p>
    <w:p w:rsidR="00D34823" w:rsidRPr="0067446F" w:rsidRDefault="00D34823" w:rsidP="00D34823">
      <w:pPr>
        <w:pStyle w:val="ConsPlusNormal"/>
        <w:spacing w:before="20"/>
        <w:ind w:firstLine="540"/>
        <w:jc w:val="both"/>
        <w:rPr>
          <w:rFonts w:ascii="Times New Roman" w:hAnsi="Times New Roman" w:cs="Times New Roman"/>
          <w:i/>
        </w:rPr>
      </w:pPr>
      <w:r w:rsidRPr="0067446F">
        <w:rPr>
          <w:rFonts w:ascii="Times New Roman" w:hAnsi="Times New Roman" w:cs="Times New Roman"/>
          <w:i/>
        </w:rPr>
        <w:t>акцизов на автомобильный бензин, прямогонный бензин, дизельное топливо, моторные масла для дизел</w:t>
      </w:r>
      <w:r w:rsidRPr="0067446F">
        <w:rPr>
          <w:rFonts w:ascii="Times New Roman" w:hAnsi="Times New Roman" w:cs="Times New Roman"/>
          <w:i/>
        </w:rPr>
        <w:t>ь</w:t>
      </w:r>
      <w:r w:rsidRPr="0067446F">
        <w:rPr>
          <w:rFonts w:ascii="Times New Roman" w:hAnsi="Times New Roman" w:cs="Times New Roman"/>
          <w:i/>
        </w:rPr>
        <w:t>ных и (или) карбюраторных (</w:t>
      </w:r>
      <w:proofErr w:type="spellStart"/>
      <w:r w:rsidRPr="0067446F">
        <w:rPr>
          <w:rFonts w:ascii="Times New Roman" w:hAnsi="Times New Roman" w:cs="Times New Roman"/>
          <w:i/>
        </w:rPr>
        <w:t>инжекторных</w:t>
      </w:r>
      <w:proofErr w:type="spellEnd"/>
      <w:r w:rsidRPr="0067446F">
        <w:rPr>
          <w:rFonts w:ascii="Times New Roman" w:hAnsi="Times New Roman" w:cs="Times New Roman"/>
          <w:i/>
        </w:rPr>
        <w:t>) двигателей, производимые на территории Российской Федерации, подлежащих зачислению в местный бюджет;</w:t>
      </w:r>
    </w:p>
    <w:p w:rsidR="00D34823" w:rsidRDefault="00D34823" w:rsidP="00D34823">
      <w:pPr>
        <w:spacing w:before="20"/>
        <w:ind w:firstLine="567"/>
        <w:jc w:val="both"/>
        <w:rPr>
          <w:i/>
          <w:sz w:val="20"/>
          <w:szCs w:val="20"/>
        </w:rPr>
      </w:pPr>
      <w:r w:rsidRPr="0067446F">
        <w:rPr>
          <w:i/>
          <w:sz w:val="20"/>
          <w:szCs w:val="20"/>
        </w:rPr>
        <w:t>иных поступлений в местный бюджет, утвержденных решением представительного органа муниц</w:t>
      </w:r>
      <w:r w:rsidRPr="0067446F">
        <w:rPr>
          <w:i/>
          <w:sz w:val="20"/>
          <w:szCs w:val="20"/>
        </w:rPr>
        <w:t>и</w:t>
      </w:r>
      <w:r w:rsidRPr="0067446F">
        <w:rPr>
          <w:i/>
          <w:sz w:val="20"/>
          <w:szCs w:val="20"/>
        </w:rPr>
        <w:t>пального образования, предусматривающим создание муниципального дорожного фонда</w:t>
      </w:r>
      <w:r>
        <w:rPr>
          <w:i/>
          <w:sz w:val="20"/>
          <w:szCs w:val="20"/>
        </w:rPr>
        <w:t>»</w:t>
      </w:r>
      <w:r w:rsidRPr="0067446F">
        <w:rPr>
          <w:i/>
          <w:sz w:val="20"/>
          <w:szCs w:val="20"/>
        </w:rPr>
        <w:t>.</w:t>
      </w:r>
    </w:p>
    <w:p w:rsidR="00D34823" w:rsidRDefault="00D34823" w:rsidP="00D34823">
      <w:pPr>
        <w:autoSpaceDE w:val="0"/>
        <w:autoSpaceDN w:val="0"/>
        <w:adjustRightInd w:val="0"/>
        <w:spacing w:before="40"/>
        <w:ind w:firstLine="540"/>
        <w:jc w:val="both"/>
        <w:rPr>
          <w:b/>
          <w:i/>
        </w:rPr>
      </w:pPr>
      <w:proofErr w:type="gramStart"/>
      <w:r>
        <w:t>2) исполнение по разделу/подразделу 0409 «</w:t>
      </w:r>
      <w:r w:rsidRPr="00C821D9">
        <w:t>Дорожное хозяйство (дорожные фонды)</w:t>
      </w:r>
      <w:r>
        <w:t xml:space="preserve">» составляет </w:t>
      </w:r>
      <w:r w:rsidR="0019024D">
        <w:t>631,9</w:t>
      </w:r>
      <w:r>
        <w:t xml:space="preserve"> тыс. руб., что меньше </w:t>
      </w:r>
      <w:r w:rsidRPr="00C821D9">
        <w:t>уточнённы</w:t>
      </w:r>
      <w:r>
        <w:t>х</w:t>
      </w:r>
      <w:r w:rsidRPr="00C821D9">
        <w:t xml:space="preserve"> бюджетны</w:t>
      </w:r>
      <w:r>
        <w:t>х</w:t>
      </w:r>
      <w:r w:rsidRPr="00C821D9">
        <w:t xml:space="preserve"> назна</w:t>
      </w:r>
      <w:r>
        <w:t>чений по КБК 29</w:t>
      </w:r>
      <w:r w:rsidR="0019024D">
        <w:t>5</w:t>
      </w:r>
      <w:r w:rsidRPr="00C821D9">
        <w:t xml:space="preserve"> 1 03 02000 01 0000 110</w:t>
      </w:r>
      <w:r>
        <w:t xml:space="preserve"> «</w:t>
      </w:r>
      <w:r w:rsidRPr="00C821D9">
        <w:t>Акцизы по подакцизным товарам (продукции), производимым на терр</w:t>
      </w:r>
      <w:r w:rsidRPr="00C821D9">
        <w:t>и</w:t>
      </w:r>
      <w:r w:rsidRPr="00C821D9">
        <w:t>тории Российской Федерации</w:t>
      </w:r>
      <w:r>
        <w:t xml:space="preserve">» в сумме </w:t>
      </w:r>
      <w:r w:rsidR="0019024D">
        <w:t>753,9</w:t>
      </w:r>
      <w:r>
        <w:t xml:space="preserve"> тыс. руб., разница в сумме </w:t>
      </w:r>
      <w:r w:rsidR="0019024D">
        <w:t>122,0</w:t>
      </w:r>
      <w:r w:rsidRPr="002171C1">
        <w:t xml:space="preserve"> </w:t>
      </w:r>
      <w:r>
        <w:t>тыс. руб. должна быть направлена на увеличение бюджетных ассигнований муниципального доро</w:t>
      </w:r>
      <w:r>
        <w:t>ж</w:t>
      </w:r>
      <w:r>
        <w:t>ного фонда в</w:t>
      </w:r>
      <w:proofErr w:type="gramEnd"/>
      <w:r>
        <w:t xml:space="preserve"> 2016 году в соответствие </w:t>
      </w:r>
      <w:r w:rsidRPr="0067446F">
        <w:rPr>
          <w:b/>
          <w:i/>
        </w:rPr>
        <w:t>пункт</w:t>
      </w:r>
      <w:r>
        <w:rPr>
          <w:b/>
          <w:i/>
        </w:rPr>
        <w:t>у</w:t>
      </w:r>
      <w:r w:rsidRPr="0067446F">
        <w:rPr>
          <w:b/>
          <w:i/>
        </w:rPr>
        <w:t xml:space="preserve"> 5 статьи 179.4 БК РФ:</w:t>
      </w:r>
    </w:p>
    <w:p w:rsidR="00D34823" w:rsidRDefault="00D34823" w:rsidP="00D34823">
      <w:pPr>
        <w:autoSpaceDE w:val="0"/>
        <w:autoSpaceDN w:val="0"/>
        <w:adjustRightInd w:val="0"/>
        <w:spacing w:before="40"/>
        <w:ind w:firstLine="540"/>
        <w:jc w:val="both"/>
        <w:rPr>
          <w:i/>
          <w:iCs/>
          <w:sz w:val="20"/>
          <w:szCs w:val="20"/>
        </w:rPr>
      </w:pPr>
      <w:r w:rsidRPr="002D21E9">
        <w:rPr>
          <w:b/>
          <w:i/>
          <w:sz w:val="20"/>
          <w:szCs w:val="20"/>
        </w:rPr>
        <w:t>«</w:t>
      </w:r>
      <w:r w:rsidRPr="002D21E9">
        <w:rPr>
          <w:i/>
          <w:iCs/>
          <w:sz w:val="20"/>
          <w:szCs w:val="20"/>
        </w:rPr>
        <w:t>Бюджетные ассигнования муниципального дорожного фонда, не использованные в текущем финанс</w:t>
      </w:r>
      <w:r w:rsidRPr="002D21E9">
        <w:rPr>
          <w:i/>
          <w:iCs/>
          <w:sz w:val="20"/>
          <w:szCs w:val="20"/>
        </w:rPr>
        <w:t>о</w:t>
      </w:r>
      <w:r w:rsidRPr="002D21E9">
        <w:rPr>
          <w:i/>
          <w:iCs/>
          <w:sz w:val="20"/>
          <w:szCs w:val="20"/>
        </w:rPr>
        <w:t>вом году, направляются на увеличение бюджетных ассигнований муниципального дорожного фонда в очере</w:t>
      </w:r>
      <w:r w:rsidRPr="002D21E9">
        <w:rPr>
          <w:i/>
          <w:iCs/>
          <w:sz w:val="20"/>
          <w:szCs w:val="20"/>
        </w:rPr>
        <w:t>д</w:t>
      </w:r>
      <w:r w:rsidRPr="002D21E9">
        <w:rPr>
          <w:i/>
          <w:iCs/>
          <w:sz w:val="20"/>
          <w:szCs w:val="20"/>
        </w:rPr>
        <w:t>ном фина</w:t>
      </w:r>
      <w:r>
        <w:rPr>
          <w:i/>
          <w:iCs/>
          <w:sz w:val="20"/>
          <w:szCs w:val="20"/>
        </w:rPr>
        <w:t>нсовом году».</w:t>
      </w:r>
    </w:p>
    <w:p w:rsidR="008E1FFF" w:rsidRPr="008E1FFF" w:rsidRDefault="004A13B7" w:rsidP="00B715B7">
      <w:pPr>
        <w:spacing w:before="60"/>
        <w:ind w:firstLine="567"/>
        <w:jc w:val="both"/>
      </w:pPr>
      <w:r w:rsidRPr="0029403D">
        <w:rPr>
          <w:b/>
        </w:rPr>
        <w:t>По разделу 05 «Жилищно-коммунальное хозяйство»</w:t>
      </w:r>
      <w:r w:rsidR="001C77B9">
        <w:rPr>
          <w:b/>
        </w:rPr>
        <w:t xml:space="preserve"> </w:t>
      </w:r>
      <w:r w:rsidR="00C800CC" w:rsidRPr="0029403D">
        <w:t xml:space="preserve">расходы в </w:t>
      </w:r>
      <w:r w:rsidR="00057FA2">
        <w:t>2015</w:t>
      </w:r>
      <w:r w:rsidR="00C800CC" w:rsidRPr="0029403D">
        <w:t xml:space="preserve"> году исполнены в объёме </w:t>
      </w:r>
      <w:r w:rsidR="0019024D">
        <w:t>1155,3</w:t>
      </w:r>
      <w:r w:rsidR="00C800CC" w:rsidRPr="0029403D">
        <w:t xml:space="preserve"> тыс. руб. или </w:t>
      </w:r>
      <w:r w:rsidR="0019024D">
        <w:t>16,8</w:t>
      </w:r>
      <w:r w:rsidR="00C800CC" w:rsidRPr="0029403D">
        <w:t>% к плану</w:t>
      </w:r>
      <w:r w:rsidR="004D04AA">
        <w:t xml:space="preserve"> </w:t>
      </w:r>
      <w:r w:rsidR="00A94EB3" w:rsidRPr="0029403D">
        <w:t>(</w:t>
      </w:r>
      <w:r w:rsidR="00A94EB3">
        <w:t>недоисполнение</w:t>
      </w:r>
      <w:r w:rsidR="00A94EB3" w:rsidRPr="0029403D">
        <w:t xml:space="preserve"> – </w:t>
      </w:r>
      <w:r w:rsidR="0019024D">
        <w:t>5710,6</w:t>
      </w:r>
      <w:r w:rsidR="00A94EB3" w:rsidRPr="0029403D">
        <w:t xml:space="preserve"> тыс. руб.).</w:t>
      </w:r>
      <w:r w:rsidR="00F34DB4" w:rsidRPr="0029403D">
        <w:t xml:space="preserve"> Удельный вес раздела в расходах бюджета составил </w:t>
      </w:r>
      <w:r w:rsidR="0019024D">
        <w:t>13,8</w:t>
      </w:r>
      <w:r w:rsidR="00F34DB4" w:rsidRPr="0029403D">
        <w:t>%.</w:t>
      </w:r>
      <w:r w:rsidR="0019024D" w:rsidRPr="0019024D">
        <w:t xml:space="preserve"> </w:t>
      </w:r>
      <w:r w:rsidR="0019024D">
        <w:t>По данному разделу производились расх</w:t>
      </w:r>
      <w:r w:rsidR="0019024D">
        <w:t>о</w:t>
      </w:r>
      <w:r w:rsidR="0019024D">
        <w:t>ды на содержание жилищного хозяйства (43,9 тыс. руб.), коммунального хозяйства (939,5 тыс. руб.) и благоустройство территории поселения (171,9 тыс. руб.).</w:t>
      </w:r>
      <w:r w:rsidR="0019024D" w:rsidRPr="0019024D">
        <w:t xml:space="preserve"> </w:t>
      </w:r>
      <w:r w:rsidR="0019024D">
        <w:t>Согласно пояснител</w:t>
      </w:r>
      <w:r w:rsidR="0019024D">
        <w:t>ь</w:t>
      </w:r>
      <w:r w:rsidR="0019024D">
        <w:t>ной записке недоисполнение расходов по данному разделу связано с тем, что работы, прои</w:t>
      </w:r>
      <w:r w:rsidR="0019024D">
        <w:t>з</w:t>
      </w:r>
      <w:r w:rsidR="0019024D">
        <w:t>веденные по реконструкции водопровода, выполнены не полностью, поэтому акты выпо</w:t>
      </w:r>
      <w:r w:rsidR="0019024D">
        <w:t>л</w:t>
      </w:r>
      <w:r w:rsidR="0019024D">
        <w:t>ненных работ не были подписаны.</w:t>
      </w:r>
    </w:p>
    <w:p w:rsidR="009262CF" w:rsidRPr="00943D3A" w:rsidRDefault="004A13B7" w:rsidP="00B715B7">
      <w:pPr>
        <w:spacing w:before="60"/>
        <w:ind w:firstLine="567"/>
        <w:jc w:val="both"/>
        <w:rPr>
          <w:u w:val="single"/>
        </w:rPr>
      </w:pPr>
      <w:r w:rsidRPr="0029403D">
        <w:rPr>
          <w:b/>
        </w:rPr>
        <w:t>По разделу 08 «Культура, кинематография»</w:t>
      </w:r>
      <w:r w:rsidR="00CE4C53">
        <w:rPr>
          <w:b/>
        </w:rPr>
        <w:t xml:space="preserve"> </w:t>
      </w:r>
      <w:r w:rsidR="009262CF" w:rsidRPr="0029403D">
        <w:t xml:space="preserve">расходы в </w:t>
      </w:r>
      <w:r w:rsidR="00057FA2">
        <w:t>2015</w:t>
      </w:r>
      <w:r w:rsidR="009262CF" w:rsidRPr="0029403D">
        <w:t xml:space="preserve"> году исполнены в объ</w:t>
      </w:r>
      <w:r w:rsidR="009262CF" w:rsidRPr="0029403D">
        <w:t>ё</w:t>
      </w:r>
      <w:r w:rsidR="009262CF" w:rsidRPr="0029403D">
        <w:t xml:space="preserve">ме </w:t>
      </w:r>
      <w:r w:rsidR="0019024D">
        <w:t>4027,6</w:t>
      </w:r>
      <w:r w:rsidR="009262CF" w:rsidRPr="0029403D">
        <w:t xml:space="preserve"> тыс. руб. или </w:t>
      </w:r>
      <w:r w:rsidR="0019024D">
        <w:t>99,4</w:t>
      </w:r>
      <w:r w:rsidR="009262CF" w:rsidRPr="0029403D">
        <w:t>% к плану</w:t>
      </w:r>
      <w:r w:rsidR="00CE4C53">
        <w:t xml:space="preserve"> </w:t>
      </w:r>
      <w:r w:rsidR="009F7257" w:rsidRPr="0029403D">
        <w:t>(</w:t>
      </w:r>
      <w:r w:rsidR="009F7257">
        <w:t>недоисполнение</w:t>
      </w:r>
      <w:r w:rsidR="009F7257" w:rsidRPr="0029403D">
        <w:t xml:space="preserve"> – </w:t>
      </w:r>
      <w:r w:rsidR="0019024D">
        <w:t>99,4</w:t>
      </w:r>
      <w:r w:rsidR="009F7257" w:rsidRPr="0029403D">
        <w:t xml:space="preserve"> тыс. руб.)</w:t>
      </w:r>
      <w:r w:rsidR="009262CF" w:rsidRPr="0029403D">
        <w:t>.</w:t>
      </w:r>
      <w:r w:rsidR="00F34DB4" w:rsidRPr="0029403D">
        <w:t xml:space="preserve"> </w:t>
      </w:r>
      <w:r w:rsidR="00F34DB4" w:rsidRPr="00213F69">
        <w:rPr>
          <w:i/>
        </w:rPr>
        <w:t>Удельный вес ра</w:t>
      </w:r>
      <w:r w:rsidR="00F34DB4" w:rsidRPr="00213F69">
        <w:rPr>
          <w:i/>
        </w:rPr>
        <w:t>з</w:t>
      </w:r>
      <w:r w:rsidR="00F34DB4" w:rsidRPr="00213F69">
        <w:rPr>
          <w:i/>
        </w:rPr>
        <w:t xml:space="preserve">дела в расходах бюджета составил </w:t>
      </w:r>
      <w:r w:rsidR="0019024D">
        <w:rPr>
          <w:i/>
        </w:rPr>
        <w:t>48,3</w:t>
      </w:r>
      <w:r w:rsidR="00F34DB4" w:rsidRPr="00213F69">
        <w:rPr>
          <w:i/>
        </w:rPr>
        <w:t>%.</w:t>
      </w:r>
    </w:p>
    <w:p w:rsidR="004A13B7" w:rsidRDefault="004A13B7" w:rsidP="00B715B7">
      <w:pPr>
        <w:spacing w:before="60"/>
        <w:ind w:firstLine="567"/>
        <w:jc w:val="both"/>
      </w:pPr>
      <w:r w:rsidRPr="0029403D">
        <w:rPr>
          <w:b/>
          <w:bCs/>
        </w:rPr>
        <w:t>По разделу 10 «Социальная политика»</w:t>
      </w:r>
      <w:r w:rsidR="00CE4C53">
        <w:rPr>
          <w:b/>
          <w:bCs/>
        </w:rPr>
        <w:t xml:space="preserve"> </w:t>
      </w:r>
      <w:r w:rsidR="009262CF" w:rsidRPr="0029403D">
        <w:t xml:space="preserve">расходы в </w:t>
      </w:r>
      <w:r w:rsidR="00057FA2">
        <w:t>2015</w:t>
      </w:r>
      <w:r w:rsidR="009262CF" w:rsidRPr="0029403D">
        <w:t xml:space="preserve"> году исполнены в объёме </w:t>
      </w:r>
      <w:r w:rsidR="0019024D">
        <w:t>29,0</w:t>
      </w:r>
      <w:r w:rsidR="00A057C3">
        <w:t xml:space="preserve"> </w:t>
      </w:r>
      <w:r w:rsidR="009262CF" w:rsidRPr="0029403D">
        <w:t xml:space="preserve">тыс. руб. или </w:t>
      </w:r>
      <w:r w:rsidR="00943D3A">
        <w:t>100</w:t>
      </w:r>
      <w:r w:rsidR="00943D3A" w:rsidRPr="0029403D">
        <w:t>% к плану</w:t>
      </w:r>
      <w:r w:rsidR="00943D3A">
        <w:t>.</w:t>
      </w:r>
      <w:r w:rsidR="00943D3A" w:rsidRPr="0029403D">
        <w:t xml:space="preserve"> </w:t>
      </w:r>
      <w:r w:rsidR="00F34DB4" w:rsidRPr="0029403D">
        <w:t>Удельный вес раздела в расходах бюджета составил 0,</w:t>
      </w:r>
      <w:r w:rsidR="0019024D">
        <w:t>3</w:t>
      </w:r>
      <w:r w:rsidR="00F34DB4" w:rsidRPr="0029403D">
        <w:t>%.</w:t>
      </w:r>
    </w:p>
    <w:p w:rsidR="001454D3" w:rsidRPr="0029403D" w:rsidRDefault="00372EC1" w:rsidP="00EA4F3B">
      <w:pPr>
        <w:pStyle w:val="1"/>
      </w:pPr>
      <w:r w:rsidRPr="0029403D">
        <w:lastRenderedPageBreak/>
        <w:t>Вывод:</w:t>
      </w:r>
      <w:r w:rsidR="00A20F54">
        <w:t xml:space="preserve"> </w:t>
      </w:r>
      <w:r w:rsidR="001454D3" w:rsidRPr="0029403D">
        <w:t xml:space="preserve">годовой отчёт об исполнении бюджета </w:t>
      </w:r>
      <w:r w:rsidR="001454D3">
        <w:t>Карган</w:t>
      </w:r>
      <w:r w:rsidR="001454D3" w:rsidRPr="0029403D">
        <w:t>ского сельсовета Каргатск</w:t>
      </w:r>
      <w:r w:rsidR="001454D3" w:rsidRPr="0029403D">
        <w:t>о</w:t>
      </w:r>
      <w:r w:rsidR="001454D3" w:rsidRPr="0029403D">
        <w:t xml:space="preserve">го района Новосибирской области за </w:t>
      </w:r>
      <w:r w:rsidR="00057FA2">
        <w:t>2015</w:t>
      </w:r>
      <w:r w:rsidR="001454D3" w:rsidRPr="0029403D">
        <w:t xml:space="preserve"> год признать </w:t>
      </w:r>
      <w:r w:rsidR="001454D3">
        <w:t>достоверным</w:t>
      </w:r>
      <w:r w:rsidR="0019024D">
        <w:t>, однако имеются нарушения и замечания</w:t>
      </w:r>
      <w:r w:rsidR="0019024D" w:rsidRPr="0029403D">
        <w:t>.</w:t>
      </w:r>
    </w:p>
    <w:p w:rsidR="00E34912" w:rsidRPr="00F435AA" w:rsidRDefault="00E34912" w:rsidP="00E34912">
      <w:pPr>
        <w:spacing w:before="180" w:after="120"/>
        <w:ind w:firstLine="567"/>
        <w:jc w:val="both"/>
      </w:pPr>
      <w:r w:rsidRPr="00F435AA">
        <w:t xml:space="preserve">Учитывая </w:t>
      </w:r>
      <w:proofErr w:type="gramStart"/>
      <w:r w:rsidRPr="00F435AA">
        <w:t>изложенное</w:t>
      </w:r>
      <w:proofErr w:type="gramEnd"/>
      <w:r w:rsidRPr="00F435AA">
        <w:t>, Ревизионная комиссия предлагает:</w:t>
      </w:r>
    </w:p>
    <w:p w:rsidR="00E34912" w:rsidRPr="00F435AA" w:rsidRDefault="00E34912" w:rsidP="00E34912">
      <w:pPr>
        <w:ind w:firstLine="567"/>
        <w:rPr>
          <w:b/>
          <w:i/>
        </w:rPr>
      </w:pPr>
      <w:r w:rsidRPr="00F435AA">
        <w:rPr>
          <w:b/>
          <w:i/>
        </w:rPr>
        <w:t xml:space="preserve">Администрации </w:t>
      </w:r>
      <w:r w:rsidRPr="00E34912">
        <w:rPr>
          <w:b/>
          <w:i/>
        </w:rPr>
        <w:t>Карганского</w:t>
      </w:r>
      <w:r w:rsidRPr="0029403D">
        <w:t xml:space="preserve"> </w:t>
      </w:r>
      <w:r w:rsidRPr="00F435AA">
        <w:rPr>
          <w:b/>
          <w:i/>
        </w:rPr>
        <w:t>сельсовета:</w:t>
      </w:r>
    </w:p>
    <w:p w:rsidR="00630271" w:rsidRDefault="00630271" w:rsidP="00630271">
      <w:pPr>
        <w:spacing w:before="60"/>
        <w:ind w:firstLine="567"/>
        <w:jc w:val="both"/>
        <w:rPr>
          <w:spacing w:val="-2"/>
        </w:rPr>
      </w:pPr>
      <w:r>
        <w:rPr>
          <w:spacing w:val="-2"/>
        </w:rPr>
        <w:t>1</w:t>
      </w:r>
      <w:r w:rsidRPr="00F2033E">
        <w:rPr>
          <w:spacing w:val="-2"/>
        </w:rPr>
        <w:t xml:space="preserve">) </w:t>
      </w:r>
      <w:r>
        <w:rPr>
          <w:color w:val="000000"/>
          <w:spacing w:val="-2"/>
        </w:rPr>
        <w:t>формы бюджетной отчётности</w:t>
      </w:r>
      <w:r w:rsidRPr="00F2033E">
        <w:rPr>
          <w:spacing w:val="-2"/>
        </w:rPr>
        <w:t xml:space="preserve"> </w:t>
      </w:r>
      <w:r>
        <w:rPr>
          <w:spacing w:val="-2"/>
        </w:rPr>
        <w:t>(0503160 (таблицы 1,2),</w:t>
      </w:r>
      <w:r w:rsidRPr="00FE740F">
        <w:rPr>
          <w:spacing w:val="-2"/>
        </w:rPr>
        <w:t xml:space="preserve"> </w:t>
      </w:r>
      <w:r>
        <w:rPr>
          <w:spacing w:val="-2"/>
        </w:rPr>
        <w:t>0503177) должны содержать всю необходимую информацию;</w:t>
      </w:r>
    </w:p>
    <w:p w:rsidR="00630271" w:rsidRPr="00FD6B9F" w:rsidRDefault="00630271" w:rsidP="00630271">
      <w:pPr>
        <w:spacing w:before="60"/>
        <w:ind w:firstLine="567"/>
        <w:jc w:val="both"/>
        <w:rPr>
          <w:color w:val="000000"/>
          <w:spacing w:val="-2"/>
        </w:rPr>
      </w:pPr>
      <w:r w:rsidRPr="00FD6B9F">
        <w:rPr>
          <w:spacing w:val="-2"/>
        </w:rPr>
        <w:t>2) инвентаризация имущества и обязательств должна проводит</w:t>
      </w:r>
      <w:r>
        <w:rPr>
          <w:spacing w:val="-2"/>
        </w:rPr>
        <w:t>ь</w:t>
      </w:r>
      <w:r w:rsidRPr="00FD6B9F">
        <w:rPr>
          <w:spacing w:val="-2"/>
        </w:rPr>
        <w:t>ся в соответствие прик</w:t>
      </w:r>
      <w:r w:rsidRPr="00FD6B9F">
        <w:rPr>
          <w:spacing w:val="-2"/>
        </w:rPr>
        <w:t>а</w:t>
      </w:r>
      <w:r w:rsidRPr="00FD6B9F">
        <w:rPr>
          <w:spacing w:val="-2"/>
        </w:rPr>
        <w:t>зу Министерства финансов Российской Федерации от 29.07.1998 № 34н</w:t>
      </w:r>
      <w:r>
        <w:rPr>
          <w:spacing w:val="-2"/>
        </w:rPr>
        <w:t>;</w:t>
      </w:r>
    </w:p>
    <w:p w:rsidR="00630271" w:rsidRPr="00630271" w:rsidRDefault="00630271" w:rsidP="00630271">
      <w:pPr>
        <w:spacing w:before="60"/>
        <w:ind w:firstLine="567"/>
        <w:jc w:val="both"/>
        <w:rPr>
          <w:color w:val="000000"/>
          <w:spacing w:val="-2"/>
        </w:rPr>
      </w:pPr>
      <w:r w:rsidRPr="00630271">
        <w:rPr>
          <w:spacing w:val="-2"/>
        </w:rPr>
        <w:t xml:space="preserve">3) </w:t>
      </w:r>
      <w:r w:rsidRPr="00630271">
        <w:rPr>
          <w:color w:val="000000"/>
          <w:spacing w:val="-2"/>
        </w:rPr>
        <w:t>в</w:t>
      </w:r>
      <w:r w:rsidRPr="00630271">
        <w:rPr>
          <w:spacing w:val="-2"/>
        </w:rPr>
        <w:t xml:space="preserve"> текстовой части решений о внесении изменений в бюджет должны быть указаны общий объём доходов и расходов, дефицит (профицит) бюджета согласно</w:t>
      </w:r>
      <w:r w:rsidRPr="00630271">
        <w:rPr>
          <w:color w:val="000000"/>
          <w:spacing w:val="-2"/>
        </w:rPr>
        <w:t xml:space="preserve"> статье 184.1 БК РФ;</w:t>
      </w:r>
    </w:p>
    <w:p w:rsidR="008F1FE4" w:rsidRPr="00213F69" w:rsidRDefault="00630271" w:rsidP="00213F69">
      <w:pPr>
        <w:spacing w:before="60"/>
        <w:ind w:firstLine="567"/>
        <w:jc w:val="both"/>
      </w:pPr>
      <w:r>
        <w:t>4</w:t>
      </w:r>
      <w:r w:rsidR="008F1FE4" w:rsidRPr="00213F69">
        <w:t xml:space="preserve">) </w:t>
      </w:r>
      <w:r w:rsidR="00213F69" w:rsidRPr="00213F69">
        <w:t>при осуществлении закупок у единственного поставщика строго следовать подпун</w:t>
      </w:r>
      <w:r w:rsidR="00213F69" w:rsidRPr="00213F69">
        <w:t>к</w:t>
      </w:r>
      <w:r w:rsidR="00213F69" w:rsidRPr="00213F69">
        <w:t>ту 4 пункта 1 статьи 93 Федерального закона от 05.04.</w:t>
      </w:r>
      <w:r w:rsidR="00057FA2">
        <w:t>2014</w:t>
      </w:r>
      <w:r w:rsidR="00213F69" w:rsidRPr="00213F69">
        <w:t xml:space="preserve"> № 44-ФЗ</w:t>
      </w:r>
      <w:r w:rsidR="008F1FE4" w:rsidRPr="00213F69">
        <w:t>;</w:t>
      </w:r>
    </w:p>
    <w:p w:rsidR="00A26AC6" w:rsidRDefault="00630271" w:rsidP="00213F69">
      <w:pPr>
        <w:spacing w:before="60"/>
        <w:ind w:firstLine="567"/>
        <w:jc w:val="both"/>
      </w:pPr>
      <w:r>
        <w:t>5</w:t>
      </w:r>
      <w:r w:rsidR="00A26AC6" w:rsidRPr="0029403D">
        <w:t>) при ведении реестра закупок строго следовать пункту 2 статьи 73 БК РФ;</w:t>
      </w:r>
    </w:p>
    <w:p w:rsidR="00630271" w:rsidRDefault="00630271" w:rsidP="00630271">
      <w:pPr>
        <w:spacing w:before="60"/>
        <w:ind w:firstLine="567"/>
        <w:jc w:val="both"/>
        <w:rPr>
          <w:szCs w:val="28"/>
        </w:rPr>
      </w:pPr>
      <w:r>
        <w:rPr>
          <w:szCs w:val="28"/>
        </w:rPr>
        <w:t>6) при планировании и использовании бюджетных ассигнований муниципального д</w:t>
      </w:r>
      <w:r>
        <w:rPr>
          <w:szCs w:val="28"/>
        </w:rPr>
        <w:t>о</w:t>
      </w:r>
      <w:r>
        <w:rPr>
          <w:szCs w:val="28"/>
        </w:rPr>
        <w:t>рожного фонда строго следовать пункту 5 статьи 179.4 БК РФ;</w:t>
      </w:r>
    </w:p>
    <w:p w:rsidR="00630271" w:rsidRDefault="00630271" w:rsidP="00630271">
      <w:pPr>
        <w:spacing w:before="60"/>
        <w:ind w:firstLine="567"/>
        <w:jc w:val="both"/>
        <w:rPr>
          <w:szCs w:val="28"/>
        </w:rPr>
      </w:pPr>
      <w:r>
        <w:rPr>
          <w:szCs w:val="28"/>
        </w:rPr>
        <w:t>7) при исполнении бюджета 2016 года увеличить бюджетные ассигнования муниц</w:t>
      </w:r>
      <w:r>
        <w:rPr>
          <w:szCs w:val="28"/>
        </w:rPr>
        <w:t>и</w:t>
      </w:r>
      <w:r>
        <w:rPr>
          <w:szCs w:val="28"/>
        </w:rPr>
        <w:t>пального дорожного фонда за счёт остатков 2015 года в объёме</w:t>
      </w:r>
      <w:r w:rsidRPr="007C3A1C">
        <w:rPr>
          <w:szCs w:val="28"/>
        </w:rPr>
        <w:t xml:space="preserve"> </w:t>
      </w:r>
      <w:r>
        <w:rPr>
          <w:szCs w:val="28"/>
        </w:rPr>
        <w:t>не менее 122,0 тыс. руб.</w:t>
      </w:r>
    </w:p>
    <w:p w:rsidR="00E34912" w:rsidRPr="0029403D" w:rsidRDefault="00E34912" w:rsidP="00E34912">
      <w:pPr>
        <w:spacing w:before="120"/>
        <w:ind w:firstLine="567"/>
        <w:jc w:val="both"/>
      </w:pPr>
      <w:r w:rsidRPr="00A82072">
        <w:rPr>
          <w:b/>
          <w:i/>
        </w:rPr>
        <w:t xml:space="preserve">Совету депутатов </w:t>
      </w:r>
      <w:r w:rsidRPr="00E34912">
        <w:rPr>
          <w:b/>
          <w:i/>
        </w:rPr>
        <w:t>Карганского</w:t>
      </w:r>
      <w:r w:rsidRPr="0029403D">
        <w:t xml:space="preserve"> </w:t>
      </w:r>
      <w:r w:rsidRPr="00F435AA">
        <w:rPr>
          <w:b/>
          <w:i/>
        </w:rPr>
        <w:t>сельсовета</w:t>
      </w:r>
      <w:r>
        <w:rPr>
          <w:b/>
          <w:i/>
        </w:rPr>
        <w:t>:</w:t>
      </w:r>
      <w:r w:rsidRPr="00C056D0">
        <w:t xml:space="preserve"> учесть изложенные в настоящем закл</w:t>
      </w:r>
      <w:r w:rsidRPr="00C056D0">
        <w:t>ю</w:t>
      </w:r>
      <w:r w:rsidRPr="00C056D0">
        <w:t xml:space="preserve">чении замечания при рассмотрении отчёта об исполнении бюджета </w:t>
      </w:r>
      <w:r>
        <w:t>Карган</w:t>
      </w:r>
      <w:r w:rsidRPr="0029403D">
        <w:t xml:space="preserve">ского сельсовета Каргатского района Новосибирской области за </w:t>
      </w:r>
      <w:r w:rsidR="00057FA2">
        <w:t>2015</w:t>
      </w:r>
      <w:r w:rsidRPr="0029403D">
        <w:t xml:space="preserve"> год.</w:t>
      </w:r>
    </w:p>
    <w:p w:rsidR="00630271" w:rsidRPr="0029403D" w:rsidRDefault="00630271" w:rsidP="00630271">
      <w:pPr>
        <w:spacing w:before="180"/>
        <w:ind w:firstLine="567"/>
        <w:jc w:val="both"/>
      </w:pPr>
      <w:r w:rsidRPr="0029403D">
        <w:t xml:space="preserve">Экспертное заключение направить </w:t>
      </w:r>
      <w:r>
        <w:t>в администрацию</w:t>
      </w:r>
      <w:r w:rsidRPr="0029403D">
        <w:t xml:space="preserve"> </w:t>
      </w:r>
      <w:r>
        <w:t>Карган</w:t>
      </w:r>
      <w:r w:rsidRPr="0029403D">
        <w:t xml:space="preserve">ского сельсовета и Совет депутатов </w:t>
      </w:r>
      <w:r>
        <w:t>Карган</w:t>
      </w:r>
      <w:r w:rsidRPr="0029403D">
        <w:t>ского сельсовета.</w:t>
      </w:r>
    </w:p>
    <w:p w:rsidR="00372EC1" w:rsidRPr="0029403D" w:rsidRDefault="00372EC1" w:rsidP="00372EC1"/>
    <w:p w:rsidR="00372EC1" w:rsidRPr="0029403D" w:rsidRDefault="00372EC1" w:rsidP="00372EC1"/>
    <w:p w:rsidR="00372EC1" w:rsidRDefault="00372EC1" w:rsidP="00372EC1"/>
    <w:p w:rsidR="00213F69" w:rsidRPr="0029403D" w:rsidRDefault="00213F69" w:rsidP="00372EC1"/>
    <w:p w:rsidR="00E34912" w:rsidRDefault="00E34912" w:rsidP="00E34912">
      <w:r>
        <w:t>Председатель</w:t>
      </w:r>
      <w:r w:rsidRPr="0029403D">
        <w:t xml:space="preserve"> </w:t>
      </w:r>
      <w:r>
        <w:t>Р</w:t>
      </w:r>
      <w:r w:rsidRPr="0029403D">
        <w:t>евизионной комиссии</w:t>
      </w:r>
      <w:r>
        <w:tab/>
      </w:r>
      <w:r w:rsidRPr="0029403D">
        <w:tab/>
      </w:r>
      <w:r w:rsidRPr="0029403D">
        <w:tab/>
      </w:r>
      <w:r>
        <w:tab/>
        <w:t>Т</w:t>
      </w:r>
      <w:r w:rsidRPr="0029403D">
        <w:t>.</w:t>
      </w:r>
      <w:r>
        <w:t>Г</w:t>
      </w:r>
      <w:r w:rsidRPr="0029403D">
        <w:t>.</w:t>
      </w:r>
      <w:r>
        <w:t xml:space="preserve"> Белоусова</w:t>
      </w:r>
      <w:r w:rsidRPr="0029403D">
        <w:tab/>
      </w:r>
    </w:p>
    <w:p w:rsidR="00E34912" w:rsidRDefault="00E34912" w:rsidP="00E34912">
      <w:pPr>
        <w:jc w:val="both"/>
      </w:pPr>
    </w:p>
    <w:p w:rsidR="00213F69" w:rsidRDefault="00213F69" w:rsidP="00E34912">
      <w:pPr>
        <w:jc w:val="both"/>
      </w:pPr>
    </w:p>
    <w:p w:rsidR="00E34912" w:rsidRDefault="00E34912" w:rsidP="00E34912">
      <w:pPr>
        <w:jc w:val="both"/>
      </w:pPr>
    </w:p>
    <w:p w:rsidR="00E34912" w:rsidRDefault="00E34912" w:rsidP="00E34912">
      <w:pPr>
        <w:jc w:val="both"/>
      </w:pPr>
    </w:p>
    <w:p w:rsidR="0027182F" w:rsidRPr="0029403D" w:rsidRDefault="00E34912" w:rsidP="00E34912">
      <w:r w:rsidRPr="0029403D">
        <w:t xml:space="preserve">Инспектор </w:t>
      </w:r>
      <w:r>
        <w:t>Р</w:t>
      </w:r>
      <w:r w:rsidRPr="0029403D">
        <w:t>евизионной комиссии</w:t>
      </w:r>
      <w:r>
        <w:tab/>
      </w:r>
      <w:r>
        <w:tab/>
      </w:r>
      <w:r>
        <w:tab/>
      </w:r>
      <w:r>
        <w:tab/>
      </w:r>
      <w:r>
        <w:tab/>
        <w:t>А.В. Довгучиц</w:t>
      </w:r>
    </w:p>
    <w:sectPr w:rsidR="0027182F" w:rsidRPr="0029403D" w:rsidSect="001C10E9">
      <w:footerReference w:type="even" r:id="rId10"/>
      <w:footerReference w:type="default" r:id="rId11"/>
      <w:pgSz w:w="11906" w:h="16838" w:code="9"/>
      <w:pgMar w:top="851" w:right="851" w:bottom="851" w:left="1418"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977" w:rsidRDefault="00457977">
      <w:r>
        <w:separator/>
      </w:r>
    </w:p>
  </w:endnote>
  <w:endnote w:type="continuationSeparator" w:id="0">
    <w:p w:rsidR="00457977" w:rsidRDefault="00457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F1B" w:rsidRDefault="00235F1B" w:rsidP="00F85C4C">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235F1B" w:rsidRDefault="00235F1B" w:rsidP="006A699B">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F1B" w:rsidRPr="002316A6" w:rsidRDefault="00235F1B" w:rsidP="00F85C4C">
    <w:pPr>
      <w:pStyle w:val="aa"/>
      <w:framePr w:wrap="around" w:vAnchor="text" w:hAnchor="margin" w:xAlign="right" w:y="1"/>
      <w:rPr>
        <w:rStyle w:val="ab"/>
        <w:sz w:val="16"/>
        <w:szCs w:val="16"/>
      </w:rPr>
    </w:pPr>
    <w:r w:rsidRPr="002316A6">
      <w:rPr>
        <w:rStyle w:val="ab"/>
        <w:sz w:val="16"/>
        <w:szCs w:val="16"/>
      </w:rPr>
      <w:fldChar w:fldCharType="begin"/>
    </w:r>
    <w:r w:rsidRPr="002316A6">
      <w:rPr>
        <w:rStyle w:val="ab"/>
        <w:sz w:val="16"/>
        <w:szCs w:val="16"/>
      </w:rPr>
      <w:instrText xml:space="preserve">PAGE  </w:instrText>
    </w:r>
    <w:r w:rsidRPr="002316A6">
      <w:rPr>
        <w:rStyle w:val="ab"/>
        <w:sz w:val="16"/>
        <w:szCs w:val="16"/>
      </w:rPr>
      <w:fldChar w:fldCharType="separate"/>
    </w:r>
    <w:r w:rsidR="00402EED">
      <w:rPr>
        <w:rStyle w:val="ab"/>
        <w:noProof/>
        <w:sz w:val="16"/>
        <w:szCs w:val="16"/>
      </w:rPr>
      <w:t>7</w:t>
    </w:r>
    <w:r w:rsidRPr="002316A6">
      <w:rPr>
        <w:rStyle w:val="ab"/>
        <w:sz w:val="16"/>
        <w:szCs w:val="16"/>
      </w:rPr>
      <w:fldChar w:fldCharType="end"/>
    </w:r>
  </w:p>
  <w:p w:rsidR="00235F1B" w:rsidRDefault="00235F1B" w:rsidP="006A699B">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977" w:rsidRDefault="00457977">
      <w:r>
        <w:separator/>
      </w:r>
    </w:p>
  </w:footnote>
  <w:footnote w:type="continuationSeparator" w:id="0">
    <w:p w:rsidR="00457977" w:rsidRDefault="004579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04BCB"/>
    <w:multiLevelType w:val="hybridMultilevel"/>
    <w:tmpl w:val="F6D884DA"/>
    <w:lvl w:ilvl="0" w:tplc="03E27084">
      <w:start w:val="1"/>
      <w:numFmt w:val="decimal"/>
      <w:lvlText w:val="%1."/>
      <w:lvlJc w:val="left"/>
      <w:pPr>
        <w:tabs>
          <w:tab w:val="num" w:pos="720"/>
        </w:tabs>
        <w:ind w:left="720" w:hanging="360"/>
      </w:pPr>
      <w:rPr>
        <w:rFonts w:ascii="Times New Roman" w:eastAsia="Times New Roman" w:hAnsi="Times New Roman" w:cs="Times New Roman"/>
      </w:rPr>
    </w:lvl>
    <w:lvl w:ilvl="1" w:tplc="6F069F68">
      <w:start w:val="1"/>
      <w:numFmt w:val="bullet"/>
      <w:lvlText w:val="-"/>
      <w:lvlJc w:val="left"/>
      <w:pPr>
        <w:tabs>
          <w:tab w:val="num" w:pos="1477"/>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62470D"/>
    <w:multiLevelType w:val="hybridMultilevel"/>
    <w:tmpl w:val="12AE13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CCB3163"/>
    <w:multiLevelType w:val="hybridMultilevel"/>
    <w:tmpl w:val="0B8687E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2D6A675F"/>
    <w:multiLevelType w:val="hybridMultilevel"/>
    <w:tmpl w:val="FD58B69A"/>
    <w:lvl w:ilvl="0" w:tplc="582282E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A993E06"/>
    <w:multiLevelType w:val="hybridMultilevel"/>
    <w:tmpl w:val="35E641BE"/>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551439F6"/>
    <w:multiLevelType w:val="hybridMultilevel"/>
    <w:tmpl w:val="919A4542"/>
    <w:lvl w:ilvl="0" w:tplc="ED543C1C">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5B3838BB"/>
    <w:multiLevelType w:val="singleLevel"/>
    <w:tmpl w:val="4046248E"/>
    <w:lvl w:ilvl="0">
      <w:numFmt w:val="bullet"/>
      <w:lvlText w:val="-"/>
      <w:lvlJc w:val="left"/>
      <w:pPr>
        <w:tabs>
          <w:tab w:val="num" w:pos="900"/>
        </w:tabs>
        <w:ind w:left="900" w:hanging="360"/>
      </w:pPr>
      <w:rPr>
        <w:rFonts w:hint="default"/>
      </w:rPr>
    </w:lvl>
  </w:abstractNum>
  <w:num w:numId="1">
    <w:abstractNumId w:val="6"/>
  </w:num>
  <w:num w:numId="2">
    <w:abstractNumId w:val="5"/>
  </w:num>
  <w:num w:numId="3">
    <w:abstractNumId w:val="1"/>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148"/>
    <w:rsid w:val="00003203"/>
    <w:rsid w:val="00004898"/>
    <w:rsid w:val="00006055"/>
    <w:rsid w:val="00006951"/>
    <w:rsid w:val="00006B39"/>
    <w:rsid w:val="00006CE6"/>
    <w:rsid w:val="00007D23"/>
    <w:rsid w:val="000159A4"/>
    <w:rsid w:val="00015ED6"/>
    <w:rsid w:val="00017C97"/>
    <w:rsid w:val="000213FE"/>
    <w:rsid w:val="000240FE"/>
    <w:rsid w:val="0002466F"/>
    <w:rsid w:val="000246B2"/>
    <w:rsid w:val="0002517C"/>
    <w:rsid w:val="00025FFB"/>
    <w:rsid w:val="0002771C"/>
    <w:rsid w:val="000314E1"/>
    <w:rsid w:val="00031C71"/>
    <w:rsid w:val="00032935"/>
    <w:rsid w:val="000340F9"/>
    <w:rsid w:val="00034D0D"/>
    <w:rsid w:val="00034F90"/>
    <w:rsid w:val="000406FD"/>
    <w:rsid w:val="00045F67"/>
    <w:rsid w:val="00046830"/>
    <w:rsid w:val="00047E92"/>
    <w:rsid w:val="0005148C"/>
    <w:rsid w:val="00051747"/>
    <w:rsid w:val="00052A03"/>
    <w:rsid w:val="00055C17"/>
    <w:rsid w:val="00057FA2"/>
    <w:rsid w:val="000601A7"/>
    <w:rsid w:val="000602E9"/>
    <w:rsid w:val="000629CA"/>
    <w:rsid w:val="000634AC"/>
    <w:rsid w:val="00063EEF"/>
    <w:rsid w:val="00066440"/>
    <w:rsid w:val="00067C9B"/>
    <w:rsid w:val="00071EC5"/>
    <w:rsid w:val="0007269A"/>
    <w:rsid w:val="00073BF5"/>
    <w:rsid w:val="00080388"/>
    <w:rsid w:val="00080C19"/>
    <w:rsid w:val="000824C0"/>
    <w:rsid w:val="00082EE1"/>
    <w:rsid w:val="00094DDE"/>
    <w:rsid w:val="000951CD"/>
    <w:rsid w:val="00095C0B"/>
    <w:rsid w:val="00096F6C"/>
    <w:rsid w:val="000A3AC5"/>
    <w:rsid w:val="000A4A24"/>
    <w:rsid w:val="000A6332"/>
    <w:rsid w:val="000A68BE"/>
    <w:rsid w:val="000B353C"/>
    <w:rsid w:val="000B35F1"/>
    <w:rsid w:val="000B406C"/>
    <w:rsid w:val="000B5AE1"/>
    <w:rsid w:val="000B77B0"/>
    <w:rsid w:val="000C0393"/>
    <w:rsid w:val="000C0B4C"/>
    <w:rsid w:val="000C129B"/>
    <w:rsid w:val="000C20DD"/>
    <w:rsid w:val="000C4655"/>
    <w:rsid w:val="000C488A"/>
    <w:rsid w:val="000C4A3D"/>
    <w:rsid w:val="000C62B2"/>
    <w:rsid w:val="000C6964"/>
    <w:rsid w:val="000D02F6"/>
    <w:rsid w:val="000D2817"/>
    <w:rsid w:val="000E268A"/>
    <w:rsid w:val="000E6EF2"/>
    <w:rsid w:val="000F3980"/>
    <w:rsid w:val="000F4FA3"/>
    <w:rsid w:val="000F5294"/>
    <w:rsid w:val="000F5459"/>
    <w:rsid w:val="000F5990"/>
    <w:rsid w:val="00100F55"/>
    <w:rsid w:val="00104D65"/>
    <w:rsid w:val="0010762C"/>
    <w:rsid w:val="00110488"/>
    <w:rsid w:val="001136A5"/>
    <w:rsid w:val="00124CFA"/>
    <w:rsid w:val="0012746B"/>
    <w:rsid w:val="001328F1"/>
    <w:rsid w:val="00135AAE"/>
    <w:rsid w:val="001454D3"/>
    <w:rsid w:val="00145643"/>
    <w:rsid w:val="00147C9B"/>
    <w:rsid w:val="00147E0C"/>
    <w:rsid w:val="00152E13"/>
    <w:rsid w:val="00155162"/>
    <w:rsid w:val="001566DE"/>
    <w:rsid w:val="001579B0"/>
    <w:rsid w:val="00157DDB"/>
    <w:rsid w:val="001608EB"/>
    <w:rsid w:val="00161BCC"/>
    <w:rsid w:val="00162034"/>
    <w:rsid w:val="0017023D"/>
    <w:rsid w:val="00170379"/>
    <w:rsid w:val="00174C19"/>
    <w:rsid w:val="00175B20"/>
    <w:rsid w:val="0017696E"/>
    <w:rsid w:val="001779AB"/>
    <w:rsid w:val="00177C7C"/>
    <w:rsid w:val="0019024D"/>
    <w:rsid w:val="001911C0"/>
    <w:rsid w:val="00191A82"/>
    <w:rsid w:val="001946F6"/>
    <w:rsid w:val="00196DE5"/>
    <w:rsid w:val="00196F7A"/>
    <w:rsid w:val="001A2085"/>
    <w:rsid w:val="001A28B4"/>
    <w:rsid w:val="001A3493"/>
    <w:rsid w:val="001A53DE"/>
    <w:rsid w:val="001A6010"/>
    <w:rsid w:val="001A76DB"/>
    <w:rsid w:val="001A7B1A"/>
    <w:rsid w:val="001B2FD9"/>
    <w:rsid w:val="001B36C6"/>
    <w:rsid w:val="001B5D69"/>
    <w:rsid w:val="001B72AC"/>
    <w:rsid w:val="001C10E9"/>
    <w:rsid w:val="001C232C"/>
    <w:rsid w:val="001C534D"/>
    <w:rsid w:val="001C6BDE"/>
    <w:rsid w:val="001C77B9"/>
    <w:rsid w:val="001D1CE9"/>
    <w:rsid w:val="001D4FBB"/>
    <w:rsid w:val="001D6AAD"/>
    <w:rsid w:val="001E60F9"/>
    <w:rsid w:val="001F0349"/>
    <w:rsid w:val="001F1C1B"/>
    <w:rsid w:val="001F1F69"/>
    <w:rsid w:val="001F604C"/>
    <w:rsid w:val="001F7E48"/>
    <w:rsid w:val="00200EDB"/>
    <w:rsid w:val="00202E4A"/>
    <w:rsid w:val="00205F33"/>
    <w:rsid w:val="00206364"/>
    <w:rsid w:val="00211503"/>
    <w:rsid w:val="00213F69"/>
    <w:rsid w:val="00215836"/>
    <w:rsid w:val="002164B0"/>
    <w:rsid w:val="00216D72"/>
    <w:rsid w:val="00217BC4"/>
    <w:rsid w:val="00221ECA"/>
    <w:rsid w:val="00224E0C"/>
    <w:rsid w:val="002267E7"/>
    <w:rsid w:val="0023071E"/>
    <w:rsid w:val="002308B9"/>
    <w:rsid w:val="002316A6"/>
    <w:rsid w:val="00232FCE"/>
    <w:rsid w:val="002341D9"/>
    <w:rsid w:val="00235F1B"/>
    <w:rsid w:val="002370BD"/>
    <w:rsid w:val="00254658"/>
    <w:rsid w:val="00260E62"/>
    <w:rsid w:val="002619DE"/>
    <w:rsid w:val="00264072"/>
    <w:rsid w:val="00265057"/>
    <w:rsid w:val="002703FF"/>
    <w:rsid w:val="002715B0"/>
    <w:rsid w:val="0027182F"/>
    <w:rsid w:val="00273E3C"/>
    <w:rsid w:val="002741C2"/>
    <w:rsid w:val="00276E2C"/>
    <w:rsid w:val="002773B5"/>
    <w:rsid w:val="0028377B"/>
    <w:rsid w:val="00283C46"/>
    <w:rsid w:val="00286402"/>
    <w:rsid w:val="00287802"/>
    <w:rsid w:val="002933E3"/>
    <w:rsid w:val="0029403D"/>
    <w:rsid w:val="002940AF"/>
    <w:rsid w:val="00296D9A"/>
    <w:rsid w:val="00296F26"/>
    <w:rsid w:val="002A0B94"/>
    <w:rsid w:val="002A1C1F"/>
    <w:rsid w:val="002A2E49"/>
    <w:rsid w:val="002A4D59"/>
    <w:rsid w:val="002A65D6"/>
    <w:rsid w:val="002A68BE"/>
    <w:rsid w:val="002B068C"/>
    <w:rsid w:val="002B3142"/>
    <w:rsid w:val="002B5C7E"/>
    <w:rsid w:val="002B7D60"/>
    <w:rsid w:val="002C488D"/>
    <w:rsid w:val="002D0BBE"/>
    <w:rsid w:val="002D0D37"/>
    <w:rsid w:val="002D2CA6"/>
    <w:rsid w:val="002D3343"/>
    <w:rsid w:val="002D44B1"/>
    <w:rsid w:val="002D5803"/>
    <w:rsid w:val="002E0467"/>
    <w:rsid w:val="002E13A6"/>
    <w:rsid w:val="002E14C6"/>
    <w:rsid w:val="002F082B"/>
    <w:rsid w:val="002F4140"/>
    <w:rsid w:val="00301432"/>
    <w:rsid w:val="003024D7"/>
    <w:rsid w:val="003030A1"/>
    <w:rsid w:val="00310C27"/>
    <w:rsid w:val="00312BE2"/>
    <w:rsid w:val="00313799"/>
    <w:rsid w:val="00317712"/>
    <w:rsid w:val="00317803"/>
    <w:rsid w:val="00320FC3"/>
    <w:rsid w:val="00332207"/>
    <w:rsid w:val="00332FA7"/>
    <w:rsid w:val="00335FB7"/>
    <w:rsid w:val="003368E7"/>
    <w:rsid w:val="003373DE"/>
    <w:rsid w:val="00337414"/>
    <w:rsid w:val="0034168D"/>
    <w:rsid w:val="003423D1"/>
    <w:rsid w:val="00342658"/>
    <w:rsid w:val="00351FFF"/>
    <w:rsid w:val="003544B4"/>
    <w:rsid w:val="00356461"/>
    <w:rsid w:val="00356683"/>
    <w:rsid w:val="00356987"/>
    <w:rsid w:val="003575D9"/>
    <w:rsid w:val="003620DB"/>
    <w:rsid w:val="003625F3"/>
    <w:rsid w:val="003636C0"/>
    <w:rsid w:val="00365B01"/>
    <w:rsid w:val="00366415"/>
    <w:rsid w:val="00366B98"/>
    <w:rsid w:val="00372EC1"/>
    <w:rsid w:val="0037449B"/>
    <w:rsid w:val="003744B4"/>
    <w:rsid w:val="003816D5"/>
    <w:rsid w:val="00381832"/>
    <w:rsid w:val="00381CCE"/>
    <w:rsid w:val="00383822"/>
    <w:rsid w:val="00387228"/>
    <w:rsid w:val="00391AFF"/>
    <w:rsid w:val="003920B0"/>
    <w:rsid w:val="00392B28"/>
    <w:rsid w:val="00393492"/>
    <w:rsid w:val="003A3182"/>
    <w:rsid w:val="003A3C90"/>
    <w:rsid w:val="003A3D99"/>
    <w:rsid w:val="003A5BD0"/>
    <w:rsid w:val="003B1021"/>
    <w:rsid w:val="003B1A71"/>
    <w:rsid w:val="003B3186"/>
    <w:rsid w:val="003B5A53"/>
    <w:rsid w:val="003C0611"/>
    <w:rsid w:val="003C11A6"/>
    <w:rsid w:val="003C2211"/>
    <w:rsid w:val="003C25A1"/>
    <w:rsid w:val="003C3B1F"/>
    <w:rsid w:val="003D272D"/>
    <w:rsid w:val="003D2EF7"/>
    <w:rsid w:val="003D3C03"/>
    <w:rsid w:val="003D4373"/>
    <w:rsid w:val="003F0DEE"/>
    <w:rsid w:val="003F1666"/>
    <w:rsid w:val="00400224"/>
    <w:rsid w:val="00402EED"/>
    <w:rsid w:val="0040332F"/>
    <w:rsid w:val="00403D17"/>
    <w:rsid w:val="00407711"/>
    <w:rsid w:val="004144B7"/>
    <w:rsid w:val="00414D50"/>
    <w:rsid w:val="00415FD7"/>
    <w:rsid w:val="0042046B"/>
    <w:rsid w:val="00422479"/>
    <w:rsid w:val="00422724"/>
    <w:rsid w:val="0042298A"/>
    <w:rsid w:val="004238A2"/>
    <w:rsid w:val="00423DB1"/>
    <w:rsid w:val="00425E43"/>
    <w:rsid w:val="004272D0"/>
    <w:rsid w:val="00430BDD"/>
    <w:rsid w:val="00431FC9"/>
    <w:rsid w:val="0043458B"/>
    <w:rsid w:val="004355E3"/>
    <w:rsid w:val="00436CFB"/>
    <w:rsid w:val="00440407"/>
    <w:rsid w:val="00442D50"/>
    <w:rsid w:val="00445209"/>
    <w:rsid w:val="00453B4C"/>
    <w:rsid w:val="00455B75"/>
    <w:rsid w:val="00457977"/>
    <w:rsid w:val="004603A0"/>
    <w:rsid w:val="00460744"/>
    <w:rsid w:val="0046511F"/>
    <w:rsid w:val="00466A12"/>
    <w:rsid w:val="00467567"/>
    <w:rsid w:val="004679EC"/>
    <w:rsid w:val="00470418"/>
    <w:rsid w:val="00471849"/>
    <w:rsid w:val="00473D01"/>
    <w:rsid w:val="0047451A"/>
    <w:rsid w:val="00476ECE"/>
    <w:rsid w:val="00480BE0"/>
    <w:rsid w:val="004812A7"/>
    <w:rsid w:val="004821B4"/>
    <w:rsid w:val="004836ED"/>
    <w:rsid w:val="00485966"/>
    <w:rsid w:val="00486F58"/>
    <w:rsid w:val="0048743C"/>
    <w:rsid w:val="00491F12"/>
    <w:rsid w:val="00494098"/>
    <w:rsid w:val="004942E6"/>
    <w:rsid w:val="004A098B"/>
    <w:rsid w:val="004A13B7"/>
    <w:rsid w:val="004A2148"/>
    <w:rsid w:val="004A4FD0"/>
    <w:rsid w:val="004B0E52"/>
    <w:rsid w:val="004B1C84"/>
    <w:rsid w:val="004B282C"/>
    <w:rsid w:val="004B5095"/>
    <w:rsid w:val="004B570F"/>
    <w:rsid w:val="004B630C"/>
    <w:rsid w:val="004B6B0C"/>
    <w:rsid w:val="004C38CC"/>
    <w:rsid w:val="004C41C8"/>
    <w:rsid w:val="004C5150"/>
    <w:rsid w:val="004C6031"/>
    <w:rsid w:val="004C7437"/>
    <w:rsid w:val="004D04AA"/>
    <w:rsid w:val="004D0D50"/>
    <w:rsid w:val="004D1828"/>
    <w:rsid w:val="004D1B14"/>
    <w:rsid w:val="004D1F2F"/>
    <w:rsid w:val="004D2A1F"/>
    <w:rsid w:val="004D35A4"/>
    <w:rsid w:val="004D50C8"/>
    <w:rsid w:val="004E3D6E"/>
    <w:rsid w:val="004E3F18"/>
    <w:rsid w:val="004E49FA"/>
    <w:rsid w:val="004E4E7D"/>
    <w:rsid w:val="004E64C9"/>
    <w:rsid w:val="004E7571"/>
    <w:rsid w:val="004E793D"/>
    <w:rsid w:val="004F2345"/>
    <w:rsid w:val="004F2E28"/>
    <w:rsid w:val="004F67F0"/>
    <w:rsid w:val="00503FA3"/>
    <w:rsid w:val="00504277"/>
    <w:rsid w:val="00506301"/>
    <w:rsid w:val="00520C8F"/>
    <w:rsid w:val="00521D3E"/>
    <w:rsid w:val="00524698"/>
    <w:rsid w:val="00525DF3"/>
    <w:rsid w:val="00526FBD"/>
    <w:rsid w:val="00527EEB"/>
    <w:rsid w:val="00530BA1"/>
    <w:rsid w:val="00531606"/>
    <w:rsid w:val="00532ED0"/>
    <w:rsid w:val="005349FF"/>
    <w:rsid w:val="00534C44"/>
    <w:rsid w:val="00535B74"/>
    <w:rsid w:val="00535CEF"/>
    <w:rsid w:val="005360E3"/>
    <w:rsid w:val="00536FE3"/>
    <w:rsid w:val="00537C4C"/>
    <w:rsid w:val="005419A6"/>
    <w:rsid w:val="00542C07"/>
    <w:rsid w:val="00550CDC"/>
    <w:rsid w:val="00551BA2"/>
    <w:rsid w:val="00551F5B"/>
    <w:rsid w:val="00552AD8"/>
    <w:rsid w:val="00554239"/>
    <w:rsid w:val="00557770"/>
    <w:rsid w:val="0056008C"/>
    <w:rsid w:val="00565CBC"/>
    <w:rsid w:val="00570766"/>
    <w:rsid w:val="00570D54"/>
    <w:rsid w:val="00572E54"/>
    <w:rsid w:val="00574260"/>
    <w:rsid w:val="00574F10"/>
    <w:rsid w:val="00575C45"/>
    <w:rsid w:val="005763C4"/>
    <w:rsid w:val="00582726"/>
    <w:rsid w:val="00585936"/>
    <w:rsid w:val="00585EFA"/>
    <w:rsid w:val="00587794"/>
    <w:rsid w:val="005918A5"/>
    <w:rsid w:val="00596CD7"/>
    <w:rsid w:val="005A01F9"/>
    <w:rsid w:val="005A02D1"/>
    <w:rsid w:val="005A05F5"/>
    <w:rsid w:val="005A1015"/>
    <w:rsid w:val="005A1A14"/>
    <w:rsid w:val="005A68D4"/>
    <w:rsid w:val="005C0938"/>
    <w:rsid w:val="005C18F4"/>
    <w:rsid w:val="005C1C6D"/>
    <w:rsid w:val="005C52B7"/>
    <w:rsid w:val="005C52F0"/>
    <w:rsid w:val="005C59E2"/>
    <w:rsid w:val="005D1E73"/>
    <w:rsid w:val="005D3365"/>
    <w:rsid w:val="005D3B0A"/>
    <w:rsid w:val="005D4F45"/>
    <w:rsid w:val="005E15EC"/>
    <w:rsid w:val="005F2C83"/>
    <w:rsid w:val="005F330B"/>
    <w:rsid w:val="005F3943"/>
    <w:rsid w:val="005F5499"/>
    <w:rsid w:val="005F636E"/>
    <w:rsid w:val="005F683C"/>
    <w:rsid w:val="005F6890"/>
    <w:rsid w:val="005F77F5"/>
    <w:rsid w:val="0060119A"/>
    <w:rsid w:val="00601431"/>
    <w:rsid w:val="00602148"/>
    <w:rsid w:val="00602251"/>
    <w:rsid w:val="0060226F"/>
    <w:rsid w:val="00604E97"/>
    <w:rsid w:val="00604EB5"/>
    <w:rsid w:val="00605896"/>
    <w:rsid w:val="00605A32"/>
    <w:rsid w:val="006062F6"/>
    <w:rsid w:val="00607E5A"/>
    <w:rsid w:val="00610F12"/>
    <w:rsid w:val="006124A2"/>
    <w:rsid w:val="006124B5"/>
    <w:rsid w:val="006128B0"/>
    <w:rsid w:val="00614347"/>
    <w:rsid w:val="006148AA"/>
    <w:rsid w:val="006170E5"/>
    <w:rsid w:val="0062131D"/>
    <w:rsid w:val="00623858"/>
    <w:rsid w:val="0062501F"/>
    <w:rsid w:val="006250C0"/>
    <w:rsid w:val="006252CB"/>
    <w:rsid w:val="00627704"/>
    <w:rsid w:val="00630271"/>
    <w:rsid w:val="006366AE"/>
    <w:rsid w:val="0063708A"/>
    <w:rsid w:val="006400C3"/>
    <w:rsid w:val="00641092"/>
    <w:rsid w:val="00641E34"/>
    <w:rsid w:val="0064327A"/>
    <w:rsid w:val="00646FDB"/>
    <w:rsid w:val="0064748D"/>
    <w:rsid w:val="006502F2"/>
    <w:rsid w:val="00651FD5"/>
    <w:rsid w:val="0065288E"/>
    <w:rsid w:val="006546A7"/>
    <w:rsid w:val="006628FF"/>
    <w:rsid w:val="0066393F"/>
    <w:rsid w:val="00665379"/>
    <w:rsid w:val="006670EB"/>
    <w:rsid w:val="00667A86"/>
    <w:rsid w:val="00667AE3"/>
    <w:rsid w:val="0067250F"/>
    <w:rsid w:val="00675ED5"/>
    <w:rsid w:val="00681369"/>
    <w:rsid w:val="00686437"/>
    <w:rsid w:val="006871EC"/>
    <w:rsid w:val="00691233"/>
    <w:rsid w:val="00691895"/>
    <w:rsid w:val="00695ACA"/>
    <w:rsid w:val="00695D6E"/>
    <w:rsid w:val="00696525"/>
    <w:rsid w:val="006A165F"/>
    <w:rsid w:val="006A3008"/>
    <w:rsid w:val="006A699B"/>
    <w:rsid w:val="006B1BFE"/>
    <w:rsid w:val="006B4C21"/>
    <w:rsid w:val="006B62A0"/>
    <w:rsid w:val="006C1D41"/>
    <w:rsid w:val="006C39A9"/>
    <w:rsid w:val="006C4A89"/>
    <w:rsid w:val="006C58FA"/>
    <w:rsid w:val="006C5DE0"/>
    <w:rsid w:val="006D237B"/>
    <w:rsid w:val="006D2B02"/>
    <w:rsid w:val="006D68F8"/>
    <w:rsid w:val="006D76E9"/>
    <w:rsid w:val="006E08FF"/>
    <w:rsid w:val="006E55E6"/>
    <w:rsid w:val="006E7516"/>
    <w:rsid w:val="00700435"/>
    <w:rsid w:val="007026D6"/>
    <w:rsid w:val="00702B24"/>
    <w:rsid w:val="00707B42"/>
    <w:rsid w:val="0071368B"/>
    <w:rsid w:val="00713767"/>
    <w:rsid w:val="00713F54"/>
    <w:rsid w:val="00714DB5"/>
    <w:rsid w:val="00714DD7"/>
    <w:rsid w:val="00716B90"/>
    <w:rsid w:val="00720605"/>
    <w:rsid w:val="0072071E"/>
    <w:rsid w:val="00726D20"/>
    <w:rsid w:val="00733AB7"/>
    <w:rsid w:val="007342F7"/>
    <w:rsid w:val="007357AC"/>
    <w:rsid w:val="00737BE9"/>
    <w:rsid w:val="007420F7"/>
    <w:rsid w:val="00753B3E"/>
    <w:rsid w:val="00757126"/>
    <w:rsid w:val="00760FA9"/>
    <w:rsid w:val="00762686"/>
    <w:rsid w:val="00765A98"/>
    <w:rsid w:val="0076648D"/>
    <w:rsid w:val="007667BD"/>
    <w:rsid w:val="00767833"/>
    <w:rsid w:val="007760D8"/>
    <w:rsid w:val="007764B7"/>
    <w:rsid w:val="00776ABF"/>
    <w:rsid w:val="00782AEC"/>
    <w:rsid w:val="00785922"/>
    <w:rsid w:val="00787BD6"/>
    <w:rsid w:val="007909D1"/>
    <w:rsid w:val="00791A2A"/>
    <w:rsid w:val="00793BB0"/>
    <w:rsid w:val="007965E5"/>
    <w:rsid w:val="007A197D"/>
    <w:rsid w:val="007A1C91"/>
    <w:rsid w:val="007A1E8E"/>
    <w:rsid w:val="007B086A"/>
    <w:rsid w:val="007B4426"/>
    <w:rsid w:val="007B5EB3"/>
    <w:rsid w:val="007B6C5C"/>
    <w:rsid w:val="007B6D30"/>
    <w:rsid w:val="007B7A75"/>
    <w:rsid w:val="007B7DFF"/>
    <w:rsid w:val="007C4B3F"/>
    <w:rsid w:val="007C6B05"/>
    <w:rsid w:val="007C7802"/>
    <w:rsid w:val="007D026A"/>
    <w:rsid w:val="007D19D5"/>
    <w:rsid w:val="007D4072"/>
    <w:rsid w:val="007E53A7"/>
    <w:rsid w:val="007E73F3"/>
    <w:rsid w:val="007E791C"/>
    <w:rsid w:val="007F0AE6"/>
    <w:rsid w:val="007F2A1E"/>
    <w:rsid w:val="007F68F4"/>
    <w:rsid w:val="00804797"/>
    <w:rsid w:val="00805716"/>
    <w:rsid w:val="00812832"/>
    <w:rsid w:val="00813DD5"/>
    <w:rsid w:val="00813E71"/>
    <w:rsid w:val="008158EE"/>
    <w:rsid w:val="00816243"/>
    <w:rsid w:val="00816F79"/>
    <w:rsid w:val="008207CB"/>
    <w:rsid w:val="008236EC"/>
    <w:rsid w:val="00830A23"/>
    <w:rsid w:val="00830D5F"/>
    <w:rsid w:val="00832285"/>
    <w:rsid w:val="0083334D"/>
    <w:rsid w:val="00833926"/>
    <w:rsid w:val="00834432"/>
    <w:rsid w:val="00836528"/>
    <w:rsid w:val="00837BFB"/>
    <w:rsid w:val="00841DFF"/>
    <w:rsid w:val="00842723"/>
    <w:rsid w:val="0084747B"/>
    <w:rsid w:val="0085123E"/>
    <w:rsid w:val="00853AAE"/>
    <w:rsid w:val="008608CA"/>
    <w:rsid w:val="008633BF"/>
    <w:rsid w:val="00864494"/>
    <w:rsid w:val="00864E85"/>
    <w:rsid w:val="008656C8"/>
    <w:rsid w:val="00866CFE"/>
    <w:rsid w:val="00867E2E"/>
    <w:rsid w:val="00870234"/>
    <w:rsid w:val="0087125D"/>
    <w:rsid w:val="00872ABD"/>
    <w:rsid w:val="008731B0"/>
    <w:rsid w:val="0087462A"/>
    <w:rsid w:val="00874BDA"/>
    <w:rsid w:val="00877B5F"/>
    <w:rsid w:val="00880F1D"/>
    <w:rsid w:val="0088125C"/>
    <w:rsid w:val="00882C08"/>
    <w:rsid w:val="00882CB6"/>
    <w:rsid w:val="00885AFC"/>
    <w:rsid w:val="008864C8"/>
    <w:rsid w:val="008876ED"/>
    <w:rsid w:val="00887CBB"/>
    <w:rsid w:val="00890527"/>
    <w:rsid w:val="00893936"/>
    <w:rsid w:val="008941B2"/>
    <w:rsid w:val="00895174"/>
    <w:rsid w:val="00895CE6"/>
    <w:rsid w:val="00897E68"/>
    <w:rsid w:val="008A03A4"/>
    <w:rsid w:val="008A3D94"/>
    <w:rsid w:val="008B0B9C"/>
    <w:rsid w:val="008B0FA6"/>
    <w:rsid w:val="008B3857"/>
    <w:rsid w:val="008B5234"/>
    <w:rsid w:val="008C1347"/>
    <w:rsid w:val="008C285D"/>
    <w:rsid w:val="008C68A7"/>
    <w:rsid w:val="008D09B0"/>
    <w:rsid w:val="008D4119"/>
    <w:rsid w:val="008D4FEE"/>
    <w:rsid w:val="008D6159"/>
    <w:rsid w:val="008D6C6F"/>
    <w:rsid w:val="008E04C3"/>
    <w:rsid w:val="008E191C"/>
    <w:rsid w:val="008E1FFF"/>
    <w:rsid w:val="008E4748"/>
    <w:rsid w:val="008E497E"/>
    <w:rsid w:val="008E63F1"/>
    <w:rsid w:val="008F0C00"/>
    <w:rsid w:val="008F1FE4"/>
    <w:rsid w:val="008F455D"/>
    <w:rsid w:val="008F70AC"/>
    <w:rsid w:val="00901537"/>
    <w:rsid w:val="00903FAD"/>
    <w:rsid w:val="00911D8B"/>
    <w:rsid w:val="0091639A"/>
    <w:rsid w:val="00917336"/>
    <w:rsid w:val="00923DA5"/>
    <w:rsid w:val="00924115"/>
    <w:rsid w:val="00925C41"/>
    <w:rsid w:val="0092613C"/>
    <w:rsid w:val="009262CF"/>
    <w:rsid w:val="00930724"/>
    <w:rsid w:val="00932F59"/>
    <w:rsid w:val="0093480A"/>
    <w:rsid w:val="00940D6A"/>
    <w:rsid w:val="00943D3A"/>
    <w:rsid w:val="009465AA"/>
    <w:rsid w:val="00950EE2"/>
    <w:rsid w:val="00951A97"/>
    <w:rsid w:val="009528AD"/>
    <w:rsid w:val="009528C3"/>
    <w:rsid w:val="0095404A"/>
    <w:rsid w:val="00954939"/>
    <w:rsid w:val="009603FB"/>
    <w:rsid w:val="00963DDA"/>
    <w:rsid w:val="009648CB"/>
    <w:rsid w:val="00971064"/>
    <w:rsid w:val="00971527"/>
    <w:rsid w:val="00971A90"/>
    <w:rsid w:val="00971F5F"/>
    <w:rsid w:val="0097248C"/>
    <w:rsid w:val="00972D8B"/>
    <w:rsid w:val="00975291"/>
    <w:rsid w:val="0097669F"/>
    <w:rsid w:val="00976773"/>
    <w:rsid w:val="00980006"/>
    <w:rsid w:val="009824E2"/>
    <w:rsid w:val="0098418E"/>
    <w:rsid w:val="00984F08"/>
    <w:rsid w:val="00986A40"/>
    <w:rsid w:val="009871D0"/>
    <w:rsid w:val="00987E2A"/>
    <w:rsid w:val="009912AC"/>
    <w:rsid w:val="00992906"/>
    <w:rsid w:val="00995B0E"/>
    <w:rsid w:val="0099743D"/>
    <w:rsid w:val="009979B1"/>
    <w:rsid w:val="009A285D"/>
    <w:rsid w:val="009A77F4"/>
    <w:rsid w:val="009A7F5C"/>
    <w:rsid w:val="009B7994"/>
    <w:rsid w:val="009C03FE"/>
    <w:rsid w:val="009C11B3"/>
    <w:rsid w:val="009C26E0"/>
    <w:rsid w:val="009C3303"/>
    <w:rsid w:val="009C381B"/>
    <w:rsid w:val="009C4093"/>
    <w:rsid w:val="009C47E4"/>
    <w:rsid w:val="009C5C3A"/>
    <w:rsid w:val="009D01E1"/>
    <w:rsid w:val="009D4B76"/>
    <w:rsid w:val="009D626C"/>
    <w:rsid w:val="009E0DF1"/>
    <w:rsid w:val="009E2890"/>
    <w:rsid w:val="009E2D86"/>
    <w:rsid w:val="009E2F3D"/>
    <w:rsid w:val="009E2F53"/>
    <w:rsid w:val="009E4081"/>
    <w:rsid w:val="009E7783"/>
    <w:rsid w:val="009E7CBF"/>
    <w:rsid w:val="009F0D34"/>
    <w:rsid w:val="009F1305"/>
    <w:rsid w:val="009F2B91"/>
    <w:rsid w:val="009F7257"/>
    <w:rsid w:val="009F78E8"/>
    <w:rsid w:val="00A057C3"/>
    <w:rsid w:val="00A05B9F"/>
    <w:rsid w:val="00A11F4F"/>
    <w:rsid w:val="00A13688"/>
    <w:rsid w:val="00A14C3F"/>
    <w:rsid w:val="00A15C3D"/>
    <w:rsid w:val="00A17EE6"/>
    <w:rsid w:val="00A20F54"/>
    <w:rsid w:val="00A21353"/>
    <w:rsid w:val="00A257BA"/>
    <w:rsid w:val="00A26AC6"/>
    <w:rsid w:val="00A3162D"/>
    <w:rsid w:val="00A32848"/>
    <w:rsid w:val="00A33C1F"/>
    <w:rsid w:val="00A3435B"/>
    <w:rsid w:val="00A34753"/>
    <w:rsid w:val="00A3604E"/>
    <w:rsid w:val="00A37A5B"/>
    <w:rsid w:val="00A4099D"/>
    <w:rsid w:val="00A44A4C"/>
    <w:rsid w:val="00A457DF"/>
    <w:rsid w:val="00A46321"/>
    <w:rsid w:val="00A46E1E"/>
    <w:rsid w:val="00A51AA0"/>
    <w:rsid w:val="00A52C49"/>
    <w:rsid w:val="00A534A7"/>
    <w:rsid w:val="00A5369C"/>
    <w:rsid w:val="00A53BA2"/>
    <w:rsid w:val="00A57E7A"/>
    <w:rsid w:val="00A60E94"/>
    <w:rsid w:val="00A61A07"/>
    <w:rsid w:val="00A70A0A"/>
    <w:rsid w:val="00A70C4E"/>
    <w:rsid w:val="00A73D4A"/>
    <w:rsid w:val="00A73F55"/>
    <w:rsid w:val="00A75F2B"/>
    <w:rsid w:val="00A80682"/>
    <w:rsid w:val="00A81EBD"/>
    <w:rsid w:val="00A85097"/>
    <w:rsid w:val="00A8766D"/>
    <w:rsid w:val="00A915EB"/>
    <w:rsid w:val="00A91B93"/>
    <w:rsid w:val="00A91E24"/>
    <w:rsid w:val="00A94889"/>
    <w:rsid w:val="00A94EB3"/>
    <w:rsid w:val="00A97D86"/>
    <w:rsid w:val="00AA37C4"/>
    <w:rsid w:val="00AA4629"/>
    <w:rsid w:val="00AA7818"/>
    <w:rsid w:val="00AB10CC"/>
    <w:rsid w:val="00AB269E"/>
    <w:rsid w:val="00AB68D4"/>
    <w:rsid w:val="00AB6B78"/>
    <w:rsid w:val="00AB72C4"/>
    <w:rsid w:val="00AB7360"/>
    <w:rsid w:val="00AB7A3B"/>
    <w:rsid w:val="00AC00C1"/>
    <w:rsid w:val="00AC0FA5"/>
    <w:rsid w:val="00AC2F86"/>
    <w:rsid w:val="00AC6D71"/>
    <w:rsid w:val="00AD1302"/>
    <w:rsid w:val="00AD4941"/>
    <w:rsid w:val="00AD4EAA"/>
    <w:rsid w:val="00AD6F5E"/>
    <w:rsid w:val="00AE1BC1"/>
    <w:rsid w:val="00AF0473"/>
    <w:rsid w:val="00AF1983"/>
    <w:rsid w:val="00AF3E71"/>
    <w:rsid w:val="00AF4DFB"/>
    <w:rsid w:val="00AF6558"/>
    <w:rsid w:val="00B017C7"/>
    <w:rsid w:val="00B03123"/>
    <w:rsid w:val="00B033A6"/>
    <w:rsid w:val="00B03460"/>
    <w:rsid w:val="00B04DBC"/>
    <w:rsid w:val="00B07572"/>
    <w:rsid w:val="00B1297E"/>
    <w:rsid w:val="00B1315D"/>
    <w:rsid w:val="00B13FD0"/>
    <w:rsid w:val="00B15601"/>
    <w:rsid w:val="00B16A57"/>
    <w:rsid w:val="00B24BC9"/>
    <w:rsid w:val="00B25294"/>
    <w:rsid w:val="00B303B2"/>
    <w:rsid w:val="00B33C0B"/>
    <w:rsid w:val="00B44988"/>
    <w:rsid w:val="00B46800"/>
    <w:rsid w:val="00B47B0D"/>
    <w:rsid w:val="00B504E7"/>
    <w:rsid w:val="00B52AFA"/>
    <w:rsid w:val="00B53622"/>
    <w:rsid w:val="00B57390"/>
    <w:rsid w:val="00B6074E"/>
    <w:rsid w:val="00B6232D"/>
    <w:rsid w:val="00B626AD"/>
    <w:rsid w:val="00B62AAD"/>
    <w:rsid w:val="00B64001"/>
    <w:rsid w:val="00B715B7"/>
    <w:rsid w:val="00B746AE"/>
    <w:rsid w:val="00B748D0"/>
    <w:rsid w:val="00B75F0D"/>
    <w:rsid w:val="00B80AA4"/>
    <w:rsid w:val="00B819E6"/>
    <w:rsid w:val="00B83103"/>
    <w:rsid w:val="00B83A13"/>
    <w:rsid w:val="00B83C6B"/>
    <w:rsid w:val="00B86300"/>
    <w:rsid w:val="00B9089F"/>
    <w:rsid w:val="00B92B97"/>
    <w:rsid w:val="00B96C5A"/>
    <w:rsid w:val="00BA0057"/>
    <w:rsid w:val="00BA03B2"/>
    <w:rsid w:val="00BA3B23"/>
    <w:rsid w:val="00BA70EE"/>
    <w:rsid w:val="00BA7231"/>
    <w:rsid w:val="00BB1E29"/>
    <w:rsid w:val="00BB2075"/>
    <w:rsid w:val="00BB482B"/>
    <w:rsid w:val="00BB6432"/>
    <w:rsid w:val="00BB7E0B"/>
    <w:rsid w:val="00BC1B44"/>
    <w:rsid w:val="00BC2821"/>
    <w:rsid w:val="00BC68CF"/>
    <w:rsid w:val="00BC6CCC"/>
    <w:rsid w:val="00BD3023"/>
    <w:rsid w:val="00BD3F00"/>
    <w:rsid w:val="00BD4EF3"/>
    <w:rsid w:val="00BD59CC"/>
    <w:rsid w:val="00BE2D15"/>
    <w:rsid w:val="00BE79A4"/>
    <w:rsid w:val="00BF729A"/>
    <w:rsid w:val="00C02622"/>
    <w:rsid w:val="00C02D6B"/>
    <w:rsid w:val="00C03531"/>
    <w:rsid w:val="00C03D08"/>
    <w:rsid w:val="00C065C2"/>
    <w:rsid w:val="00C12D1B"/>
    <w:rsid w:val="00C1658D"/>
    <w:rsid w:val="00C21652"/>
    <w:rsid w:val="00C218BA"/>
    <w:rsid w:val="00C32B33"/>
    <w:rsid w:val="00C3716F"/>
    <w:rsid w:val="00C407D3"/>
    <w:rsid w:val="00C4374F"/>
    <w:rsid w:val="00C473F5"/>
    <w:rsid w:val="00C476C9"/>
    <w:rsid w:val="00C53FCF"/>
    <w:rsid w:val="00C55A56"/>
    <w:rsid w:val="00C57473"/>
    <w:rsid w:val="00C57571"/>
    <w:rsid w:val="00C62F03"/>
    <w:rsid w:val="00C647CB"/>
    <w:rsid w:val="00C6536C"/>
    <w:rsid w:val="00C712AC"/>
    <w:rsid w:val="00C72592"/>
    <w:rsid w:val="00C72CD6"/>
    <w:rsid w:val="00C72D66"/>
    <w:rsid w:val="00C74345"/>
    <w:rsid w:val="00C75464"/>
    <w:rsid w:val="00C800CC"/>
    <w:rsid w:val="00C81F0C"/>
    <w:rsid w:val="00C82259"/>
    <w:rsid w:val="00C82326"/>
    <w:rsid w:val="00C82D0E"/>
    <w:rsid w:val="00C8605C"/>
    <w:rsid w:val="00C92190"/>
    <w:rsid w:val="00C95A3B"/>
    <w:rsid w:val="00CA485C"/>
    <w:rsid w:val="00CA5860"/>
    <w:rsid w:val="00CA5EBE"/>
    <w:rsid w:val="00CB0EA0"/>
    <w:rsid w:val="00CB1448"/>
    <w:rsid w:val="00CB1808"/>
    <w:rsid w:val="00CB4958"/>
    <w:rsid w:val="00CB6956"/>
    <w:rsid w:val="00CB7014"/>
    <w:rsid w:val="00CB7F16"/>
    <w:rsid w:val="00CC3F8A"/>
    <w:rsid w:val="00CD065C"/>
    <w:rsid w:val="00CD1A77"/>
    <w:rsid w:val="00CD23F1"/>
    <w:rsid w:val="00CD31A5"/>
    <w:rsid w:val="00CD38E0"/>
    <w:rsid w:val="00CD4484"/>
    <w:rsid w:val="00CD4EED"/>
    <w:rsid w:val="00CE02C1"/>
    <w:rsid w:val="00CE1216"/>
    <w:rsid w:val="00CE4C53"/>
    <w:rsid w:val="00CE7911"/>
    <w:rsid w:val="00CE7D95"/>
    <w:rsid w:val="00CF0981"/>
    <w:rsid w:val="00CF25D2"/>
    <w:rsid w:val="00CF29BD"/>
    <w:rsid w:val="00CF2E30"/>
    <w:rsid w:val="00CF46C6"/>
    <w:rsid w:val="00CF57E7"/>
    <w:rsid w:val="00CF58DD"/>
    <w:rsid w:val="00D00932"/>
    <w:rsid w:val="00D01A8F"/>
    <w:rsid w:val="00D027BD"/>
    <w:rsid w:val="00D04240"/>
    <w:rsid w:val="00D06031"/>
    <w:rsid w:val="00D06838"/>
    <w:rsid w:val="00D10064"/>
    <w:rsid w:val="00D160CA"/>
    <w:rsid w:val="00D23DB8"/>
    <w:rsid w:val="00D262AF"/>
    <w:rsid w:val="00D34823"/>
    <w:rsid w:val="00D37B7A"/>
    <w:rsid w:val="00D40AFF"/>
    <w:rsid w:val="00D41CF5"/>
    <w:rsid w:val="00D42297"/>
    <w:rsid w:val="00D442E4"/>
    <w:rsid w:val="00D47863"/>
    <w:rsid w:val="00D506C3"/>
    <w:rsid w:val="00D50AEE"/>
    <w:rsid w:val="00D50F7F"/>
    <w:rsid w:val="00D52352"/>
    <w:rsid w:val="00D56F2B"/>
    <w:rsid w:val="00D60C3B"/>
    <w:rsid w:val="00D6248A"/>
    <w:rsid w:val="00D65DEB"/>
    <w:rsid w:val="00D67D78"/>
    <w:rsid w:val="00D7029B"/>
    <w:rsid w:val="00D70E23"/>
    <w:rsid w:val="00D73DB9"/>
    <w:rsid w:val="00D7512C"/>
    <w:rsid w:val="00D755F6"/>
    <w:rsid w:val="00D77878"/>
    <w:rsid w:val="00D81B4A"/>
    <w:rsid w:val="00D84D97"/>
    <w:rsid w:val="00D852B6"/>
    <w:rsid w:val="00D912C8"/>
    <w:rsid w:val="00D912CC"/>
    <w:rsid w:val="00D97D97"/>
    <w:rsid w:val="00DA0E87"/>
    <w:rsid w:val="00DA3695"/>
    <w:rsid w:val="00DA61E0"/>
    <w:rsid w:val="00DA7B2D"/>
    <w:rsid w:val="00DB0036"/>
    <w:rsid w:val="00DB0B1C"/>
    <w:rsid w:val="00DB1053"/>
    <w:rsid w:val="00DB1081"/>
    <w:rsid w:val="00DB12F1"/>
    <w:rsid w:val="00DB1B65"/>
    <w:rsid w:val="00DB262D"/>
    <w:rsid w:val="00DB5C44"/>
    <w:rsid w:val="00DC1ABD"/>
    <w:rsid w:val="00DC2105"/>
    <w:rsid w:val="00DC49A6"/>
    <w:rsid w:val="00DD072C"/>
    <w:rsid w:val="00DD0E63"/>
    <w:rsid w:val="00DE4D3E"/>
    <w:rsid w:val="00DE7AA2"/>
    <w:rsid w:val="00DF177F"/>
    <w:rsid w:val="00DF2D23"/>
    <w:rsid w:val="00DF6171"/>
    <w:rsid w:val="00DF7855"/>
    <w:rsid w:val="00E02480"/>
    <w:rsid w:val="00E04607"/>
    <w:rsid w:val="00E10527"/>
    <w:rsid w:val="00E111FB"/>
    <w:rsid w:val="00E11CBD"/>
    <w:rsid w:val="00E13DFA"/>
    <w:rsid w:val="00E14A66"/>
    <w:rsid w:val="00E167F6"/>
    <w:rsid w:val="00E16F4C"/>
    <w:rsid w:val="00E179AA"/>
    <w:rsid w:val="00E23B01"/>
    <w:rsid w:val="00E23C6A"/>
    <w:rsid w:val="00E2681F"/>
    <w:rsid w:val="00E26B33"/>
    <w:rsid w:val="00E26E06"/>
    <w:rsid w:val="00E3151E"/>
    <w:rsid w:val="00E34912"/>
    <w:rsid w:val="00E3723F"/>
    <w:rsid w:val="00E41DFA"/>
    <w:rsid w:val="00E462E3"/>
    <w:rsid w:val="00E52D2C"/>
    <w:rsid w:val="00E5437B"/>
    <w:rsid w:val="00E54486"/>
    <w:rsid w:val="00E54779"/>
    <w:rsid w:val="00E548A7"/>
    <w:rsid w:val="00E56C9E"/>
    <w:rsid w:val="00E56D6E"/>
    <w:rsid w:val="00E6093E"/>
    <w:rsid w:val="00E6095C"/>
    <w:rsid w:val="00E64B29"/>
    <w:rsid w:val="00E676E9"/>
    <w:rsid w:val="00E70F95"/>
    <w:rsid w:val="00E71961"/>
    <w:rsid w:val="00E72C7D"/>
    <w:rsid w:val="00E80293"/>
    <w:rsid w:val="00E85DC1"/>
    <w:rsid w:val="00E8794A"/>
    <w:rsid w:val="00E917E2"/>
    <w:rsid w:val="00E967D6"/>
    <w:rsid w:val="00E96C9A"/>
    <w:rsid w:val="00EA4F3B"/>
    <w:rsid w:val="00EA7CB1"/>
    <w:rsid w:val="00EB3289"/>
    <w:rsid w:val="00EB4679"/>
    <w:rsid w:val="00EB48A3"/>
    <w:rsid w:val="00EC01E2"/>
    <w:rsid w:val="00EC1127"/>
    <w:rsid w:val="00EC42FB"/>
    <w:rsid w:val="00EC4305"/>
    <w:rsid w:val="00EC4E3C"/>
    <w:rsid w:val="00EC53A4"/>
    <w:rsid w:val="00EC57B8"/>
    <w:rsid w:val="00EC59F2"/>
    <w:rsid w:val="00EC63AF"/>
    <w:rsid w:val="00EC6A46"/>
    <w:rsid w:val="00EC7C42"/>
    <w:rsid w:val="00EE1703"/>
    <w:rsid w:val="00EE1D64"/>
    <w:rsid w:val="00EE52AC"/>
    <w:rsid w:val="00EF013A"/>
    <w:rsid w:val="00EF18EA"/>
    <w:rsid w:val="00EF52F9"/>
    <w:rsid w:val="00EF6694"/>
    <w:rsid w:val="00EF79F7"/>
    <w:rsid w:val="00F00640"/>
    <w:rsid w:val="00F01C8A"/>
    <w:rsid w:val="00F067F4"/>
    <w:rsid w:val="00F07B36"/>
    <w:rsid w:val="00F112C1"/>
    <w:rsid w:val="00F14227"/>
    <w:rsid w:val="00F1605F"/>
    <w:rsid w:val="00F17157"/>
    <w:rsid w:val="00F17DC4"/>
    <w:rsid w:val="00F23400"/>
    <w:rsid w:val="00F3214F"/>
    <w:rsid w:val="00F34DB4"/>
    <w:rsid w:val="00F35C7B"/>
    <w:rsid w:val="00F37687"/>
    <w:rsid w:val="00F407EA"/>
    <w:rsid w:val="00F41D2B"/>
    <w:rsid w:val="00F429A8"/>
    <w:rsid w:val="00F44B7F"/>
    <w:rsid w:val="00F45276"/>
    <w:rsid w:val="00F46D1E"/>
    <w:rsid w:val="00F551DE"/>
    <w:rsid w:val="00F57C56"/>
    <w:rsid w:val="00F60DAA"/>
    <w:rsid w:val="00F66D86"/>
    <w:rsid w:val="00F67228"/>
    <w:rsid w:val="00F700FC"/>
    <w:rsid w:val="00F730B2"/>
    <w:rsid w:val="00F7325E"/>
    <w:rsid w:val="00F75005"/>
    <w:rsid w:val="00F7638F"/>
    <w:rsid w:val="00F76C5F"/>
    <w:rsid w:val="00F80BAB"/>
    <w:rsid w:val="00F8439F"/>
    <w:rsid w:val="00F85460"/>
    <w:rsid w:val="00F85C4C"/>
    <w:rsid w:val="00F8601A"/>
    <w:rsid w:val="00F9129B"/>
    <w:rsid w:val="00FA012C"/>
    <w:rsid w:val="00FA2E87"/>
    <w:rsid w:val="00FA7E23"/>
    <w:rsid w:val="00FB0D17"/>
    <w:rsid w:val="00FB13C3"/>
    <w:rsid w:val="00FB385E"/>
    <w:rsid w:val="00FB73A8"/>
    <w:rsid w:val="00FC1E18"/>
    <w:rsid w:val="00FC5CD7"/>
    <w:rsid w:val="00FC7FD3"/>
    <w:rsid w:val="00FD4E45"/>
    <w:rsid w:val="00FD6C6E"/>
    <w:rsid w:val="00FE3A53"/>
    <w:rsid w:val="00FE77CE"/>
    <w:rsid w:val="00FF2759"/>
    <w:rsid w:val="00FF3701"/>
    <w:rsid w:val="00FF5353"/>
    <w:rsid w:val="00FF72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autoRedefine/>
    <w:qFormat/>
    <w:rsid w:val="00EA4F3B"/>
    <w:pPr>
      <w:keepNext/>
      <w:spacing w:before="180" w:after="60"/>
      <w:ind w:firstLine="567"/>
      <w:jc w:val="both"/>
      <w:outlineLvl w:val="0"/>
    </w:pPr>
    <w:rPr>
      <w:rFonts w:cs="Arial"/>
      <w:b/>
      <w:bCs/>
      <w:kern w:val="32"/>
    </w:rPr>
  </w:style>
  <w:style w:type="paragraph" w:styleId="3">
    <w:name w:val="heading 3"/>
    <w:basedOn w:val="a"/>
    <w:next w:val="a"/>
    <w:qFormat/>
    <w:rsid w:val="00296D9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Надин стиль,Основной текст 1,Нумерованный список !!,Iniiaiie oaeno 1,Ioia?iaaiiue nienie !!,Iaaei noeeu"/>
    <w:basedOn w:val="a"/>
    <w:rsid w:val="002741C2"/>
    <w:pPr>
      <w:ind w:right="-766" w:firstLine="720"/>
      <w:jc w:val="both"/>
    </w:pPr>
    <w:rPr>
      <w:sz w:val="28"/>
      <w:szCs w:val="20"/>
    </w:rPr>
  </w:style>
  <w:style w:type="paragraph" w:styleId="2">
    <w:name w:val="Body Text 2"/>
    <w:basedOn w:val="a"/>
    <w:rsid w:val="002741C2"/>
    <w:pPr>
      <w:spacing w:after="120" w:line="480" w:lineRule="auto"/>
    </w:pPr>
  </w:style>
  <w:style w:type="paragraph" w:styleId="20">
    <w:name w:val="Body Text Indent 2"/>
    <w:basedOn w:val="a"/>
    <w:rsid w:val="00D027BD"/>
    <w:pPr>
      <w:spacing w:after="120" w:line="480" w:lineRule="auto"/>
      <w:ind w:left="283"/>
    </w:pPr>
  </w:style>
  <w:style w:type="paragraph" w:styleId="a4">
    <w:name w:val="Body Text"/>
    <w:aliases w:val="Основной текст1,Основной текст Знак Знак Знак Знак Знак Знак,Основной текст Знак Знак Знак Знак Знак Знак Знак Знак Знак Знак Знак Знак Знак Знак Знак Знак Знак Знак Знак Знак"/>
    <w:basedOn w:val="a"/>
    <w:link w:val="a5"/>
    <w:rsid w:val="00D027BD"/>
    <w:pPr>
      <w:spacing w:after="120"/>
    </w:pPr>
  </w:style>
  <w:style w:type="paragraph" w:customStyle="1" w:styleId="ConsPlusNormal">
    <w:name w:val="ConsPlusNormal"/>
    <w:rsid w:val="00E5437B"/>
    <w:pPr>
      <w:autoSpaceDE w:val="0"/>
      <w:autoSpaceDN w:val="0"/>
      <w:adjustRightInd w:val="0"/>
      <w:ind w:firstLine="720"/>
    </w:pPr>
    <w:rPr>
      <w:rFonts w:ascii="Arial" w:hAnsi="Arial" w:cs="Arial"/>
    </w:rPr>
  </w:style>
  <w:style w:type="paragraph" w:styleId="a6">
    <w:name w:val="footnote text"/>
    <w:basedOn w:val="a"/>
    <w:semiHidden/>
    <w:rsid w:val="00E5437B"/>
    <w:rPr>
      <w:sz w:val="20"/>
      <w:szCs w:val="20"/>
    </w:rPr>
  </w:style>
  <w:style w:type="character" w:styleId="a7">
    <w:name w:val="footnote reference"/>
    <w:basedOn w:val="a0"/>
    <w:semiHidden/>
    <w:rsid w:val="00E5437B"/>
    <w:rPr>
      <w:vertAlign w:val="superscript"/>
    </w:rPr>
  </w:style>
  <w:style w:type="table" w:styleId="a8">
    <w:name w:val="Table Grid"/>
    <w:basedOn w:val="a1"/>
    <w:rsid w:val="00F17157"/>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qFormat/>
    <w:rsid w:val="003373DE"/>
    <w:pPr>
      <w:jc w:val="center"/>
    </w:pPr>
    <w:rPr>
      <w:sz w:val="28"/>
    </w:rPr>
  </w:style>
  <w:style w:type="paragraph" w:customStyle="1" w:styleId="ConsPlusTitle">
    <w:name w:val="ConsPlusTitle"/>
    <w:rsid w:val="00423DB1"/>
    <w:pPr>
      <w:widowControl w:val="0"/>
      <w:autoSpaceDE w:val="0"/>
      <w:autoSpaceDN w:val="0"/>
      <w:adjustRightInd w:val="0"/>
    </w:pPr>
    <w:rPr>
      <w:rFonts w:ascii="Arial" w:hAnsi="Arial" w:cs="Arial"/>
      <w:b/>
      <w:bCs/>
    </w:rPr>
  </w:style>
  <w:style w:type="character" w:customStyle="1" w:styleId="a5">
    <w:name w:val="Основной текст Знак"/>
    <w:aliases w:val="Основной текст1 Знак,Основной текст Знак Знак Знак Знак Знак Знак Знак,Основной текст Знак Знак Знак Знак Знак Знак Знак Знак Знак Знак Знак Знак Знак Знак Знак Знак Знак Знак Знак Знак Знак"/>
    <w:basedOn w:val="a0"/>
    <w:link w:val="a4"/>
    <w:rsid w:val="00080C19"/>
    <w:rPr>
      <w:sz w:val="24"/>
      <w:szCs w:val="24"/>
      <w:lang w:val="ru-RU" w:eastAsia="ru-RU" w:bidi="ar-SA"/>
    </w:rPr>
  </w:style>
  <w:style w:type="paragraph" w:styleId="aa">
    <w:name w:val="footer"/>
    <w:basedOn w:val="a"/>
    <w:rsid w:val="006A699B"/>
    <w:pPr>
      <w:tabs>
        <w:tab w:val="center" w:pos="4677"/>
        <w:tab w:val="right" w:pos="9355"/>
      </w:tabs>
    </w:pPr>
  </w:style>
  <w:style w:type="character" w:styleId="ab">
    <w:name w:val="page number"/>
    <w:basedOn w:val="a0"/>
    <w:rsid w:val="006A699B"/>
  </w:style>
  <w:style w:type="paragraph" w:styleId="ac">
    <w:name w:val="caption"/>
    <w:basedOn w:val="a"/>
    <w:qFormat/>
    <w:rsid w:val="001E60F9"/>
    <w:pPr>
      <w:ind w:firstLine="720"/>
      <w:jc w:val="center"/>
    </w:pPr>
    <w:rPr>
      <w:b/>
      <w:sz w:val="28"/>
      <w:szCs w:val="20"/>
    </w:rPr>
  </w:style>
  <w:style w:type="paragraph" w:customStyle="1" w:styleId="ConsNormal">
    <w:name w:val="ConsNormal"/>
    <w:rsid w:val="00607E5A"/>
    <w:pPr>
      <w:widowControl w:val="0"/>
      <w:ind w:firstLine="720"/>
    </w:pPr>
    <w:rPr>
      <w:rFonts w:ascii="Arial" w:hAnsi="Arial"/>
      <w:snapToGrid w:val="0"/>
    </w:rPr>
  </w:style>
  <w:style w:type="paragraph" w:styleId="ad">
    <w:name w:val="header"/>
    <w:basedOn w:val="a"/>
    <w:rsid w:val="00F730B2"/>
    <w:pPr>
      <w:tabs>
        <w:tab w:val="center" w:pos="4677"/>
        <w:tab w:val="right" w:pos="9355"/>
      </w:tabs>
    </w:pPr>
  </w:style>
  <w:style w:type="paragraph" w:customStyle="1" w:styleId="10">
    <w:name w:val="Знак1"/>
    <w:basedOn w:val="a"/>
    <w:rsid w:val="00CD4EED"/>
    <w:pPr>
      <w:spacing w:after="160" w:line="240" w:lineRule="exact"/>
    </w:pPr>
    <w:rPr>
      <w:rFonts w:ascii="Verdana" w:hAnsi="Verdana"/>
      <w:sz w:val="20"/>
      <w:szCs w:val="20"/>
      <w:lang w:val="en-US" w:eastAsia="en-US"/>
    </w:rPr>
  </w:style>
  <w:style w:type="paragraph" w:styleId="ae">
    <w:name w:val="Balloon Text"/>
    <w:basedOn w:val="a"/>
    <w:link w:val="af"/>
    <w:uiPriority w:val="99"/>
    <w:rsid w:val="00155162"/>
    <w:rPr>
      <w:rFonts w:ascii="Tahoma" w:hAnsi="Tahoma" w:cs="Tahoma"/>
      <w:sz w:val="16"/>
      <w:szCs w:val="16"/>
    </w:rPr>
  </w:style>
  <w:style w:type="character" w:customStyle="1" w:styleId="af">
    <w:name w:val="Текст выноски Знак"/>
    <w:basedOn w:val="a0"/>
    <w:link w:val="ae"/>
    <w:uiPriority w:val="99"/>
    <w:rsid w:val="00155162"/>
    <w:rPr>
      <w:rFonts w:ascii="Tahoma" w:hAnsi="Tahoma" w:cs="Tahoma"/>
      <w:sz w:val="16"/>
      <w:szCs w:val="16"/>
    </w:rPr>
  </w:style>
  <w:style w:type="paragraph" w:styleId="af0">
    <w:name w:val="List Paragraph"/>
    <w:basedOn w:val="a"/>
    <w:uiPriority w:val="34"/>
    <w:qFormat/>
    <w:rsid w:val="00F551DE"/>
    <w:pPr>
      <w:ind w:left="720"/>
      <w:contextualSpacing/>
    </w:pPr>
  </w:style>
  <w:style w:type="character" w:styleId="af1">
    <w:name w:val="Hyperlink"/>
    <w:basedOn w:val="a0"/>
    <w:uiPriority w:val="99"/>
    <w:unhideWhenUsed/>
    <w:rsid w:val="00381C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autoRedefine/>
    <w:qFormat/>
    <w:rsid w:val="00EA4F3B"/>
    <w:pPr>
      <w:keepNext/>
      <w:spacing w:before="180" w:after="60"/>
      <w:ind w:firstLine="567"/>
      <w:jc w:val="both"/>
      <w:outlineLvl w:val="0"/>
    </w:pPr>
    <w:rPr>
      <w:rFonts w:cs="Arial"/>
      <w:b/>
      <w:bCs/>
      <w:kern w:val="32"/>
    </w:rPr>
  </w:style>
  <w:style w:type="paragraph" w:styleId="3">
    <w:name w:val="heading 3"/>
    <w:basedOn w:val="a"/>
    <w:next w:val="a"/>
    <w:qFormat/>
    <w:rsid w:val="00296D9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Надин стиль,Основной текст 1,Нумерованный список !!,Iniiaiie oaeno 1,Ioia?iaaiiue nienie !!,Iaaei noeeu"/>
    <w:basedOn w:val="a"/>
    <w:rsid w:val="002741C2"/>
    <w:pPr>
      <w:ind w:right="-766" w:firstLine="720"/>
      <w:jc w:val="both"/>
    </w:pPr>
    <w:rPr>
      <w:sz w:val="28"/>
      <w:szCs w:val="20"/>
    </w:rPr>
  </w:style>
  <w:style w:type="paragraph" w:styleId="2">
    <w:name w:val="Body Text 2"/>
    <w:basedOn w:val="a"/>
    <w:rsid w:val="002741C2"/>
    <w:pPr>
      <w:spacing w:after="120" w:line="480" w:lineRule="auto"/>
    </w:pPr>
  </w:style>
  <w:style w:type="paragraph" w:styleId="20">
    <w:name w:val="Body Text Indent 2"/>
    <w:basedOn w:val="a"/>
    <w:rsid w:val="00D027BD"/>
    <w:pPr>
      <w:spacing w:after="120" w:line="480" w:lineRule="auto"/>
      <w:ind w:left="283"/>
    </w:pPr>
  </w:style>
  <w:style w:type="paragraph" w:styleId="a4">
    <w:name w:val="Body Text"/>
    <w:aliases w:val="Основной текст1,Основной текст Знак Знак Знак Знак Знак Знак,Основной текст Знак Знак Знак Знак Знак Знак Знак Знак Знак Знак Знак Знак Знак Знак Знак Знак Знак Знак Знак Знак"/>
    <w:basedOn w:val="a"/>
    <w:link w:val="a5"/>
    <w:rsid w:val="00D027BD"/>
    <w:pPr>
      <w:spacing w:after="120"/>
    </w:pPr>
  </w:style>
  <w:style w:type="paragraph" w:customStyle="1" w:styleId="ConsPlusNormal">
    <w:name w:val="ConsPlusNormal"/>
    <w:rsid w:val="00E5437B"/>
    <w:pPr>
      <w:autoSpaceDE w:val="0"/>
      <w:autoSpaceDN w:val="0"/>
      <w:adjustRightInd w:val="0"/>
      <w:ind w:firstLine="720"/>
    </w:pPr>
    <w:rPr>
      <w:rFonts w:ascii="Arial" w:hAnsi="Arial" w:cs="Arial"/>
    </w:rPr>
  </w:style>
  <w:style w:type="paragraph" w:styleId="a6">
    <w:name w:val="footnote text"/>
    <w:basedOn w:val="a"/>
    <w:semiHidden/>
    <w:rsid w:val="00E5437B"/>
    <w:rPr>
      <w:sz w:val="20"/>
      <w:szCs w:val="20"/>
    </w:rPr>
  </w:style>
  <w:style w:type="character" w:styleId="a7">
    <w:name w:val="footnote reference"/>
    <w:basedOn w:val="a0"/>
    <w:semiHidden/>
    <w:rsid w:val="00E5437B"/>
    <w:rPr>
      <w:vertAlign w:val="superscript"/>
    </w:rPr>
  </w:style>
  <w:style w:type="table" w:styleId="a8">
    <w:name w:val="Table Grid"/>
    <w:basedOn w:val="a1"/>
    <w:rsid w:val="00F17157"/>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qFormat/>
    <w:rsid w:val="003373DE"/>
    <w:pPr>
      <w:jc w:val="center"/>
    </w:pPr>
    <w:rPr>
      <w:sz w:val="28"/>
    </w:rPr>
  </w:style>
  <w:style w:type="paragraph" w:customStyle="1" w:styleId="ConsPlusTitle">
    <w:name w:val="ConsPlusTitle"/>
    <w:rsid w:val="00423DB1"/>
    <w:pPr>
      <w:widowControl w:val="0"/>
      <w:autoSpaceDE w:val="0"/>
      <w:autoSpaceDN w:val="0"/>
      <w:adjustRightInd w:val="0"/>
    </w:pPr>
    <w:rPr>
      <w:rFonts w:ascii="Arial" w:hAnsi="Arial" w:cs="Arial"/>
      <w:b/>
      <w:bCs/>
    </w:rPr>
  </w:style>
  <w:style w:type="character" w:customStyle="1" w:styleId="a5">
    <w:name w:val="Основной текст Знак"/>
    <w:aliases w:val="Основной текст1 Знак,Основной текст Знак Знак Знак Знак Знак Знак Знак,Основной текст Знак Знак Знак Знак Знак Знак Знак Знак Знак Знак Знак Знак Знак Знак Знак Знак Знак Знак Знак Знак Знак"/>
    <w:basedOn w:val="a0"/>
    <w:link w:val="a4"/>
    <w:rsid w:val="00080C19"/>
    <w:rPr>
      <w:sz w:val="24"/>
      <w:szCs w:val="24"/>
      <w:lang w:val="ru-RU" w:eastAsia="ru-RU" w:bidi="ar-SA"/>
    </w:rPr>
  </w:style>
  <w:style w:type="paragraph" w:styleId="aa">
    <w:name w:val="footer"/>
    <w:basedOn w:val="a"/>
    <w:rsid w:val="006A699B"/>
    <w:pPr>
      <w:tabs>
        <w:tab w:val="center" w:pos="4677"/>
        <w:tab w:val="right" w:pos="9355"/>
      </w:tabs>
    </w:pPr>
  </w:style>
  <w:style w:type="character" w:styleId="ab">
    <w:name w:val="page number"/>
    <w:basedOn w:val="a0"/>
    <w:rsid w:val="006A699B"/>
  </w:style>
  <w:style w:type="paragraph" w:styleId="ac">
    <w:name w:val="caption"/>
    <w:basedOn w:val="a"/>
    <w:qFormat/>
    <w:rsid w:val="001E60F9"/>
    <w:pPr>
      <w:ind w:firstLine="720"/>
      <w:jc w:val="center"/>
    </w:pPr>
    <w:rPr>
      <w:b/>
      <w:sz w:val="28"/>
      <w:szCs w:val="20"/>
    </w:rPr>
  </w:style>
  <w:style w:type="paragraph" w:customStyle="1" w:styleId="ConsNormal">
    <w:name w:val="ConsNormal"/>
    <w:rsid w:val="00607E5A"/>
    <w:pPr>
      <w:widowControl w:val="0"/>
      <w:ind w:firstLine="720"/>
    </w:pPr>
    <w:rPr>
      <w:rFonts w:ascii="Arial" w:hAnsi="Arial"/>
      <w:snapToGrid w:val="0"/>
    </w:rPr>
  </w:style>
  <w:style w:type="paragraph" w:styleId="ad">
    <w:name w:val="header"/>
    <w:basedOn w:val="a"/>
    <w:rsid w:val="00F730B2"/>
    <w:pPr>
      <w:tabs>
        <w:tab w:val="center" w:pos="4677"/>
        <w:tab w:val="right" w:pos="9355"/>
      </w:tabs>
    </w:pPr>
  </w:style>
  <w:style w:type="paragraph" w:customStyle="1" w:styleId="10">
    <w:name w:val="Знак1"/>
    <w:basedOn w:val="a"/>
    <w:rsid w:val="00CD4EED"/>
    <w:pPr>
      <w:spacing w:after="160" w:line="240" w:lineRule="exact"/>
    </w:pPr>
    <w:rPr>
      <w:rFonts w:ascii="Verdana" w:hAnsi="Verdana"/>
      <w:sz w:val="20"/>
      <w:szCs w:val="20"/>
      <w:lang w:val="en-US" w:eastAsia="en-US"/>
    </w:rPr>
  </w:style>
  <w:style w:type="paragraph" w:styleId="ae">
    <w:name w:val="Balloon Text"/>
    <w:basedOn w:val="a"/>
    <w:link w:val="af"/>
    <w:uiPriority w:val="99"/>
    <w:rsid w:val="00155162"/>
    <w:rPr>
      <w:rFonts w:ascii="Tahoma" w:hAnsi="Tahoma" w:cs="Tahoma"/>
      <w:sz w:val="16"/>
      <w:szCs w:val="16"/>
    </w:rPr>
  </w:style>
  <w:style w:type="character" w:customStyle="1" w:styleId="af">
    <w:name w:val="Текст выноски Знак"/>
    <w:basedOn w:val="a0"/>
    <w:link w:val="ae"/>
    <w:uiPriority w:val="99"/>
    <w:rsid w:val="00155162"/>
    <w:rPr>
      <w:rFonts w:ascii="Tahoma" w:hAnsi="Tahoma" w:cs="Tahoma"/>
      <w:sz w:val="16"/>
      <w:szCs w:val="16"/>
    </w:rPr>
  </w:style>
  <w:style w:type="paragraph" w:styleId="af0">
    <w:name w:val="List Paragraph"/>
    <w:basedOn w:val="a"/>
    <w:uiPriority w:val="34"/>
    <w:qFormat/>
    <w:rsid w:val="00F551DE"/>
    <w:pPr>
      <w:ind w:left="720"/>
      <w:contextualSpacing/>
    </w:pPr>
  </w:style>
  <w:style w:type="character" w:styleId="af1">
    <w:name w:val="Hyperlink"/>
    <w:basedOn w:val="a0"/>
    <w:uiPriority w:val="99"/>
    <w:unhideWhenUsed/>
    <w:rsid w:val="00381C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93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536C7-FB38-443F-90F7-8B9FB7AF1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7</Pages>
  <Words>3177</Words>
  <Characters>18109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Расходы областного бюджета Новосибирской области на 2007 год</vt:lpstr>
    </vt:vector>
  </TitlesOfParts>
  <Company>KCP</Company>
  <LinksUpToDate>false</LinksUpToDate>
  <CharactersWithSpaces>21244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Расходы областного бюджета Новосибирской области на 2007 год</dc:title>
  <dc:creator>User</dc:creator>
  <cp:lastModifiedBy>Довгучиц</cp:lastModifiedBy>
  <cp:revision>50</cp:revision>
  <cp:lastPrinted>2016-04-28T04:47:00Z</cp:lastPrinted>
  <dcterms:created xsi:type="dcterms:W3CDTF">2013-04-04T02:16:00Z</dcterms:created>
  <dcterms:modified xsi:type="dcterms:W3CDTF">2016-04-28T04:47:00Z</dcterms:modified>
</cp:coreProperties>
</file>